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5"/>
          <w:szCs w:val="5"/>
          <w:color w:val="auto"/>
        </w:rPr>
        <w:drawing>
          <wp:anchor simplePos="0" relativeHeight="251657728" behindDoc="1" locked="0" layoutInCell="0" allowOverlap="1">
            <wp:simplePos x="0" y="0"/>
            <wp:positionH relativeFrom="page">
              <wp:posOffset>422910</wp:posOffset>
            </wp:positionH>
            <wp:positionV relativeFrom="page">
              <wp:posOffset>750570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765810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MN,KL</w:t>
      </w:r>
    </w:p>
    <w:p>
      <w:pPr>
        <w:jc w:val="center"/>
        <w:ind w:right="-19"/>
        <w:spacing w:after="0" w:line="238" w:lineRule="auto"/>
        <w:rPr>
          <w:sz w:val="20"/>
          <w:szCs w:val="20"/>
          <w:color w:val="auto"/>
        </w:rPr>
      </w:pPr>
      <w:r>
        <w:rPr>
          <w:rFonts w:ascii="Times New Roman" w:cs="Times New Roman" w:eastAsia="Times New Roman" w:hAnsi="Times New Roman"/>
          <w:sz w:val="28"/>
          <w:szCs w:val="28"/>
          <w:b w:val="1"/>
          <w:bCs w:val="1"/>
          <w:color w:val="auto"/>
        </w:rPr>
        <w:t>UNITED STATES</w:t>
      </w:r>
    </w:p>
    <w:p>
      <w:pPr>
        <w:jc w:val="center"/>
        <w:ind w:right="-19"/>
        <w:spacing w:after="0" w:line="233"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46355</wp:posOffset>
            </wp:positionV>
            <wp:extent cx="10515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1560" cy="762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54" w:lineRule="exact"/>
        <w:rPr>
          <w:sz w:val="24"/>
          <w:szCs w:val="24"/>
          <w:color w:val="auto"/>
        </w:rPr>
      </w:pPr>
    </w:p>
    <w:p>
      <w:pPr>
        <w:ind w:left="180" w:hanging="174"/>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 the fiscal year ended December 31, 2024</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11"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TRANSITION REPORT PURSUANT TO SECTION 13 OR 15(d) OF THE SECURITIES EXCHANGE ACT OF 1934.</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For the transition period from _______ to _______</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4"/>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color w:val="auto"/>
              </w:rPr>
              <w:t>000-10140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35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4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4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460"/>
        </w:trPr>
        <w:tc>
          <w:tcPr>
            <w:tcW w:w="10540" w:type="dxa"/>
            <w:vAlign w:val="bottom"/>
            <w:gridSpan w:val="11"/>
          </w:tcPr>
          <w:p>
            <w:pPr>
              <w:jc w:val="center"/>
              <w:spacing w:after="0"/>
              <w:rPr>
                <w:sz w:val="20"/>
                <w:szCs w:val="20"/>
                <w:color w:val="auto"/>
              </w:rPr>
            </w:pPr>
            <w:r>
              <w:rPr>
                <w:rFonts w:ascii="Times New Roman" w:cs="Times New Roman" w:eastAsia="Times New Roman" w:hAnsi="Times New Roman"/>
                <w:sz w:val="37"/>
                <w:szCs w:val="37"/>
                <w:b w:val="1"/>
                <w:bCs w:val="1"/>
                <w:color w:val="auto"/>
              </w:rPr>
              <w:t>CVB FINANCIAL CORP.</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4"/>
          </w:tcPr>
          <w:p>
            <w:pPr>
              <w:jc w:val="center"/>
              <w:ind w:left="4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80" w:type="dxa"/>
            <w:vAlign w:val="bottom"/>
          </w:tcPr>
          <w:p>
            <w:pPr>
              <w:jc w:val="center"/>
              <w:ind w:left="1885"/>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40" w:type="dxa"/>
            <w:vAlign w:val="bottom"/>
          </w:tcPr>
          <w:p>
            <w:pPr>
              <w:jc w:val="right"/>
              <w:ind w:right="2237"/>
              <w:spacing w:after="0"/>
              <w:rPr>
                <w:sz w:val="20"/>
                <w:szCs w:val="20"/>
                <w:color w:val="auto"/>
              </w:rPr>
            </w:pPr>
            <w:r>
              <w:rPr>
                <w:rFonts w:ascii="Times New Roman" w:cs="Times New Roman" w:eastAsia="Times New Roman" w:hAnsi="Times New Roman"/>
                <w:sz w:val="14"/>
                <w:szCs w:val="14"/>
                <w:b w:val="1"/>
                <w:bCs w:val="1"/>
                <w:color w:val="auto"/>
              </w:rPr>
              <w:t>95-3629339</w:t>
            </w:r>
          </w:p>
        </w:tc>
        <w:tc>
          <w:tcPr>
            <w:tcW w:w="0" w:type="dxa"/>
            <w:vAlign w:val="bottom"/>
          </w:tcPr>
          <w:p>
            <w:pPr>
              <w:spacing w:after="0"/>
              <w:rPr>
                <w:sz w:val="1"/>
                <w:szCs w:val="1"/>
                <w:color w:val="auto"/>
              </w:rPr>
            </w:pPr>
          </w:p>
        </w:tc>
      </w:tr>
      <w:tr>
        <w:trPr>
          <w:trHeight w:val="132"/>
        </w:trPr>
        <w:tc>
          <w:tcPr>
            <w:tcW w:w="3280" w:type="dxa"/>
            <w:vAlign w:val="bottom"/>
          </w:tcPr>
          <w:p>
            <w:pPr>
              <w:jc w:val="center"/>
              <w:ind w:left="1905"/>
              <w:spacing w:after="0"/>
              <w:rPr>
                <w:sz w:val="20"/>
                <w:szCs w:val="20"/>
                <w:color w:val="auto"/>
              </w:rPr>
            </w:pPr>
            <w:r>
              <w:rPr>
                <w:rFonts w:ascii="Times New Roman" w:cs="Times New Roman" w:eastAsia="Times New Roman" w:hAnsi="Times New Roman"/>
                <w:sz w:val="11"/>
                <w:szCs w:val="11"/>
                <w:color w:val="auto"/>
                <w:w w:val="98"/>
              </w:rPr>
              <w:t>(State or other jurisdiction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40" w:type="dxa"/>
            <w:vAlign w:val="bottom"/>
          </w:tcPr>
          <w:p>
            <w:pPr>
              <w:jc w:val="center"/>
              <w:ind w:right="1957"/>
              <w:spacing w:after="0"/>
              <w:rPr>
                <w:sz w:val="20"/>
                <w:szCs w:val="20"/>
                <w:color w:val="auto"/>
              </w:rPr>
            </w:pPr>
            <w:r>
              <w:rPr>
                <w:rFonts w:ascii="Times New Roman" w:cs="Times New Roman" w:eastAsia="Times New Roman" w:hAnsi="Times New Roman"/>
                <w:sz w:val="11"/>
                <w:szCs w:val="11"/>
                <w:color w:val="auto"/>
                <w:w w:val="98"/>
              </w:rPr>
              <w:t>(I.R.S. Employer</w:t>
            </w:r>
          </w:p>
        </w:tc>
        <w:tc>
          <w:tcPr>
            <w:tcW w:w="0" w:type="dxa"/>
            <w:vAlign w:val="bottom"/>
          </w:tcPr>
          <w:p>
            <w:pPr>
              <w:spacing w:after="0"/>
              <w:rPr>
                <w:sz w:val="1"/>
                <w:szCs w:val="1"/>
                <w:color w:val="auto"/>
              </w:rPr>
            </w:pPr>
          </w:p>
        </w:tc>
      </w:tr>
      <w:tr>
        <w:trPr>
          <w:trHeight w:val="140"/>
        </w:trPr>
        <w:tc>
          <w:tcPr>
            <w:tcW w:w="3280" w:type="dxa"/>
            <w:vAlign w:val="bottom"/>
          </w:tcPr>
          <w:p>
            <w:pPr>
              <w:jc w:val="center"/>
              <w:ind w:left="1905"/>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tcPr>
          <w:p>
            <w:pPr>
              <w:jc w:val="center"/>
              <w:ind w:right="1977"/>
              <w:spacing w:after="0"/>
              <w:rPr>
                <w:sz w:val="20"/>
                <w:szCs w:val="20"/>
                <w:color w:val="auto"/>
              </w:rPr>
            </w:pPr>
            <w:r>
              <w:rPr>
                <w:rFonts w:ascii="Times New Roman" w:cs="Times New Roman" w:eastAsia="Times New Roman" w:hAnsi="Times New Roman"/>
                <w:sz w:val="11"/>
                <w:szCs w:val="11"/>
                <w:color w:val="auto"/>
                <w:w w:val="97"/>
              </w:rPr>
              <w:t>Identification No.)</w:t>
            </w:r>
          </w:p>
        </w:tc>
        <w:tc>
          <w:tcPr>
            <w:tcW w:w="0" w:type="dxa"/>
            <w:vAlign w:val="bottom"/>
          </w:tcPr>
          <w:p>
            <w:pPr>
              <w:spacing w:after="0"/>
              <w:rPr>
                <w:sz w:val="1"/>
                <w:szCs w:val="1"/>
                <w:color w:val="auto"/>
              </w:rPr>
            </w:pPr>
          </w:p>
        </w:tc>
      </w:tr>
      <w:tr>
        <w:trPr>
          <w:trHeight w:val="242"/>
        </w:trPr>
        <w:tc>
          <w:tcPr>
            <w:tcW w:w="6780" w:type="dxa"/>
            <w:vAlign w:val="bottom"/>
            <w:gridSpan w:val="7"/>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701 N. Haven Avenue, Suite 350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40" w:type="dxa"/>
            <w:vAlign w:val="bottom"/>
          </w:tcPr>
          <w:p>
            <w:pPr>
              <w:jc w:val="center"/>
              <w:ind w:right="1977"/>
              <w:spacing w:after="0"/>
              <w:rPr>
                <w:sz w:val="20"/>
                <w:szCs w:val="20"/>
                <w:color w:val="auto"/>
              </w:rPr>
            </w:pPr>
            <w:r>
              <w:rPr>
                <w:rFonts w:ascii="Times New Roman" w:cs="Times New Roman" w:eastAsia="Times New Roman" w:hAnsi="Times New Roman"/>
                <w:sz w:val="14"/>
                <w:szCs w:val="14"/>
                <w:b w:val="1"/>
                <w:bCs w:val="1"/>
                <w:color w:val="auto"/>
              </w:rPr>
              <w:t>91764</w:t>
            </w:r>
          </w:p>
        </w:tc>
        <w:tc>
          <w:tcPr>
            <w:tcW w:w="0" w:type="dxa"/>
            <w:vAlign w:val="bottom"/>
          </w:tcPr>
          <w:p>
            <w:pPr>
              <w:spacing w:after="0"/>
              <w:rPr>
                <w:sz w:val="1"/>
                <w:szCs w:val="1"/>
                <w:color w:val="auto"/>
              </w:rPr>
            </w:pPr>
          </w:p>
        </w:tc>
      </w:tr>
      <w:tr>
        <w:trPr>
          <w:trHeight w:val="190"/>
        </w:trPr>
        <w:tc>
          <w:tcPr>
            <w:tcW w:w="3280" w:type="dxa"/>
            <w:vAlign w:val="bottom"/>
          </w:tcPr>
          <w:p>
            <w:pPr>
              <w:jc w:val="center"/>
              <w:ind w:left="1885"/>
              <w:spacing w:after="0"/>
              <w:rPr>
                <w:sz w:val="20"/>
                <w:szCs w:val="20"/>
                <w:color w:val="auto"/>
              </w:rPr>
            </w:pPr>
            <w:r>
              <w:rPr>
                <w:rFonts w:ascii="Times New Roman" w:cs="Times New Roman" w:eastAsia="Times New Roman" w:hAnsi="Times New Roman"/>
                <w:sz w:val="14"/>
                <w:szCs w:val="14"/>
                <w:b w:val="1"/>
                <w:bCs w:val="1"/>
                <w:color w:val="auto"/>
              </w:rPr>
              <w:t>Ontario, California</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6780" w:type="dxa"/>
            <w:vAlign w:val="bottom"/>
            <w:gridSpan w:val="7"/>
          </w:tcPr>
          <w:p>
            <w:pPr>
              <w:jc w:val="center"/>
              <w:ind w:right="1540"/>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tcPr>
          <w:p>
            <w:pPr>
              <w:jc w:val="center"/>
              <w:ind w:right="1977"/>
              <w:spacing w:after="0"/>
              <w:rPr>
                <w:sz w:val="20"/>
                <w:szCs w:val="20"/>
                <w:color w:val="auto"/>
              </w:rPr>
            </w:pPr>
            <w:r>
              <w:rPr>
                <w:rFonts w:ascii="Times New Roman" w:cs="Times New Roman" w:eastAsia="Times New Roman" w:hAnsi="Times New Roman"/>
                <w:sz w:val="11"/>
                <w:szCs w:val="11"/>
                <w:color w:val="auto"/>
                <w:w w:val="98"/>
              </w:rPr>
              <w:t>(Zip Code)</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4020" w:type="dxa"/>
            <w:vAlign w:val="bottom"/>
            <w:gridSpan w:val="9"/>
          </w:tcPr>
          <w:p>
            <w:pPr>
              <w:jc w:val="center"/>
              <w:ind w:right="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(909) 980-4030</w:t>
            </w: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tcBorders>
              <w:bottom w:val="single" w:sz="8" w:color="auto"/>
            </w:tcBorders>
          </w:tcPr>
          <w:p>
            <w:pPr>
              <w:jc w:val="center"/>
              <w:ind w:left="125"/>
              <w:spacing w:after="0"/>
              <w:rPr>
                <w:sz w:val="20"/>
                <w:szCs w:val="20"/>
                <w:color w:val="auto"/>
              </w:rPr>
            </w:pPr>
            <w:r>
              <w:rPr>
                <w:rFonts w:ascii="Times New Roman" w:cs="Times New Roman" w:eastAsia="Times New Roman" w:hAnsi="Times New Roman"/>
                <w:sz w:val="11"/>
                <w:szCs w:val="11"/>
                <w:b w:val="1"/>
                <w:bCs w:val="1"/>
                <w:color w:val="auto"/>
                <w:w w:val="97"/>
              </w:rPr>
              <w:t>Title of Class</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308"/>
        </w:trPr>
        <w:tc>
          <w:tcPr>
            <w:tcW w:w="3280" w:type="dxa"/>
            <w:vAlign w:val="bottom"/>
          </w:tcPr>
          <w:p>
            <w:pPr>
              <w:jc w:val="center"/>
              <w:ind w:left="125"/>
              <w:spacing w:after="0"/>
              <w:rPr>
                <w:sz w:val="20"/>
                <w:szCs w:val="20"/>
                <w:color w:val="auto"/>
              </w:rPr>
            </w:pPr>
            <w:r>
              <w:rPr>
                <w:rFonts w:ascii="Times New Roman" w:cs="Times New Roman" w:eastAsia="Times New Roman" w:hAnsi="Times New Roman"/>
                <w:sz w:val="14"/>
                <w:szCs w:val="14"/>
                <w:color w:val="auto"/>
              </w:rPr>
              <w:t>Common Stock, no par value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rPr>
              <w:t>CVBF</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tcPr>
          <w:p>
            <w:pPr>
              <w:jc w:val="right"/>
              <w:ind w:right="817"/>
              <w:spacing w:after="0"/>
              <w:rPr>
                <w:sz w:val="20"/>
                <w:szCs w:val="20"/>
                <w:color w:val="auto"/>
              </w:rPr>
            </w:pPr>
            <w:r>
              <w:rPr>
                <w:rFonts w:ascii="Times New Roman" w:cs="Times New Roman" w:eastAsia="Times New Roman" w:hAnsi="Times New Roman"/>
                <w:sz w:val="14"/>
                <w:szCs w:val="14"/>
                <w:color w:val="auto"/>
              </w:rPr>
              <w:t>NASDAQ Stock Market, LLC</w:t>
            </w:r>
          </w:p>
        </w:tc>
        <w:tc>
          <w:tcPr>
            <w:tcW w:w="0" w:type="dxa"/>
            <w:vAlign w:val="bottom"/>
          </w:tcPr>
          <w:p>
            <w:pPr>
              <w:spacing w:after="0"/>
              <w:rPr>
                <w:sz w:val="1"/>
                <w:szCs w:val="1"/>
                <w:color w:val="auto"/>
              </w:rPr>
            </w:pPr>
          </w:p>
        </w:tc>
      </w:tr>
      <w:tr>
        <w:trPr>
          <w:trHeight w:val="240"/>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None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4480" w:type="dxa"/>
            <w:vAlign w:val="bottom"/>
            <w:gridSpan w:val="4"/>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640" w:type="dxa"/>
            <w:vAlign w:val="bottom"/>
            <w:gridSpan w:val="2"/>
          </w:tcPr>
          <w:p>
            <w:pPr>
              <w:spacing w:after="0"/>
              <w:rPr>
                <w:sz w:val="5"/>
                <w:szCs w:val="5"/>
                <w:color w:val="auto"/>
              </w:rPr>
            </w:pPr>
          </w:p>
        </w:tc>
        <w:tc>
          <w:tcPr>
            <w:tcW w:w="520" w:type="dxa"/>
            <w:vAlign w:val="bottom"/>
            <w:gridSpan w:val="3"/>
          </w:tcPr>
          <w:p>
            <w:pPr>
              <w:spacing w:after="0"/>
              <w:rPr>
                <w:sz w:val="5"/>
                <w:szCs w:val="5"/>
                <w:color w:val="auto"/>
              </w:rPr>
            </w:pPr>
          </w:p>
        </w:tc>
        <w:tc>
          <w:tcPr>
            <w:tcW w:w="3240" w:type="dxa"/>
            <w:vAlign w:val="bottom"/>
            <w:vMerge w:val="restart"/>
          </w:tcPr>
          <w:p>
            <w:pPr>
              <w:jc w:val="right"/>
              <w:ind w:right="2837"/>
              <w:spacing w:after="0" w:line="150" w:lineRule="exact"/>
              <w:rPr>
                <w:sz w:val="20"/>
                <w:szCs w:val="20"/>
                <w:color w:val="auto"/>
              </w:rPr>
            </w:pPr>
            <w:r>
              <w:rPr>
                <w:rFonts w:ascii="Times New Roman" w:cs="Times New Roman" w:eastAsia="Times New Roman" w:hAnsi="Times New Roman"/>
                <w:sz w:val="13"/>
                <w:szCs w:val="13"/>
                <w:color w:val="auto"/>
                <w:w w:val="99"/>
              </w:rPr>
              <w:t xml:space="preserve">No </w:t>
            </w:r>
            <w:r>
              <w:rPr>
                <w:rFonts w:ascii="MS PGothic" w:cs="MS PGothic" w:eastAsia="MS PGothic" w:hAnsi="MS PGothic"/>
                <w:sz w:val="13"/>
                <w:szCs w:val="13"/>
                <w:color w:val="auto"/>
                <w:w w:val="99"/>
              </w:rPr>
              <w:t>☐</w:t>
            </w:r>
          </w:p>
        </w:tc>
        <w:tc>
          <w:tcPr>
            <w:tcW w:w="0" w:type="dxa"/>
            <w:vAlign w:val="bottom"/>
          </w:tcPr>
          <w:p>
            <w:pPr>
              <w:spacing w:after="0"/>
              <w:rPr>
                <w:sz w:val="1"/>
                <w:szCs w:val="1"/>
                <w:color w:val="auto"/>
              </w:rPr>
            </w:pPr>
          </w:p>
        </w:tc>
      </w:tr>
      <w:tr>
        <w:trPr>
          <w:trHeight w:val="202"/>
        </w:trPr>
        <w:tc>
          <w:tcPr>
            <w:tcW w:w="6780" w:type="dxa"/>
            <w:vAlign w:val="bottom"/>
            <w:gridSpan w:val="7"/>
          </w:tcPr>
          <w:p>
            <w:pPr>
              <w:ind w:left="46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520" w:type="dxa"/>
            <w:vAlign w:val="bottom"/>
            <w:gridSpan w:val="3"/>
          </w:tcPr>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3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80" w:type="dxa"/>
            <w:vAlign w:val="bottom"/>
            <w:gridSpan w:val="7"/>
          </w:tcPr>
          <w:p>
            <w:pPr>
              <w:ind w:left="46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520" w:type="dxa"/>
            <w:vAlign w:val="bottom"/>
            <w:gridSpan w:val="3"/>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3240" w:type="dxa"/>
            <w:vAlign w:val="bottom"/>
          </w:tcPr>
          <w:p>
            <w:pPr>
              <w:jc w:val="right"/>
              <w:ind w:right="2717"/>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2" w:lineRule="exact"/>
        <w:rPr>
          <w:sz w:val="24"/>
          <w:szCs w:val="24"/>
          <w:color w:val="auto"/>
        </w:rPr>
      </w:pPr>
    </w:p>
    <w:p>
      <w:pPr>
        <w:ind w:right="180" w:firstLine="468"/>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 w:lineRule="exact"/>
        <w:rPr>
          <w:sz w:val="24"/>
          <w:szCs w:val="24"/>
          <w:color w:val="auto"/>
        </w:rPr>
      </w:pPr>
    </w:p>
    <w:p>
      <w:pPr>
        <w:ind w:right="340" w:firstLine="468"/>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 w:lineRule="exact"/>
        <w:rPr>
          <w:sz w:val="24"/>
          <w:szCs w:val="24"/>
          <w:color w:val="auto"/>
        </w:rPr>
      </w:pPr>
    </w:p>
    <w:p>
      <w:pPr>
        <w:ind w:right="180" w:firstLine="468"/>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 w:lineRule="exact"/>
        <w:rPr>
          <w:sz w:val="24"/>
          <w:szCs w:val="24"/>
          <w:color w:val="auto"/>
        </w:rPr>
      </w:pPr>
    </w:p>
    <w:p>
      <w:pPr>
        <w:ind w:left="20"/>
        <w:spacing w:after="0" w:line="150" w:lineRule="exact"/>
        <w:tabs>
          <w:tab w:leader="none" w:pos="2120" w:val="left"/>
          <w:tab w:leader="none" w:pos="8300" w:val="left"/>
          <w:tab w:leader="none" w:pos="1036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MS PGothic" w:cs="MS PGothic" w:eastAsia="MS PGothic" w:hAnsi="MS PGothic"/>
          <w:sz w:val="14"/>
          <w:szCs w:val="14"/>
          <w:color w:val="auto"/>
        </w:rPr>
        <w:t>☐</w:t>
      </w:r>
    </w:p>
    <w:p>
      <w:pPr>
        <w:spacing w:after="0" w:line="85" w:lineRule="exact"/>
        <w:rPr>
          <w:sz w:val="24"/>
          <w:szCs w:val="24"/>
          <w:color w:val="auto"/>
        </w:rPr>
      </w:pPr>
    </w:p>
    <w:p>
      <w:pPr>
        <w:ind w:left="20"/>
        <w:spacing w:after="0" w:line="150" w:lineRule="exact"/>
        <w:tabs>
          <w:tab w:leader="none" w:pos="2120" w:val="left"/>
          <w:tab w:leader="none" w:pos="8300" w:val="left"/>
          <w:tab w:leader="none" w:pos="10360" w:val="left"/>
        </w:tabs>
        <w:rPr>
          <w:sz w:val="20"/>
          <w:szCs w:val="20"/>
          <w:color w:val="auto"/>
        </w:rPr>
      </w:pPr>
      <w:r>
        <w:rPr>
          <w:rFonts w:ascii="Times New Roman" w:cs="Times New Roman" w:eastAsia="Times New Roman" w:hAnsi="Times New Roman"/>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50" w:lineRule="exact"/>
        <w:rPr>
          <w:sz w:val="24"/>
          <w:szCs w:val="24"/>
          <w:color w:val="auto"/>
        </w:rPr>
      </w:pPr>
    </w:p>
    <w:p>
      <w:pPr>
        <w:ind w:left="20"/>
        <w:spacing w:after="0" w:line="150" w:lineRule="exact"/>
        <w:tabs>
          <w:tab w:leader="none" w:pos="2120" w:val="left"/>
        </w:tabs>
        <w:rPr>
          <w:sz w:val="20"/>
          <w:szCs w:val="20"/>
          <w:color w:val="auto"/>
        </w:rPr>
      </w:pPr>
      <w:r>
        <w:rPr>
          <w:rFonts w:ascii="Times New Roman" w:cs="Times New Roman" w:eastAsia="Times New Roman" w:hAnsi="Times New Roman"/>
          <w:sz w:val="13"/>
          <w:szCs w:val="13"/>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49" w:lineRule="exact"/>
        <w:rPr>
          <w:sz w:val="24"/>
          <w:szCs w:val="24"/>
          <w:color w:val="auto"/>
        </w:rPr>
      </w:pPr>
    </w:p>
    <w:p>
      <w:pPr>
        <w:ind w:right="300" w:firstLine="468"/>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 w:lineRule="exact"/>
        <w:rPr>
          <w:sz w:val="24"/>
          <w:szCs w:val="24"/>
          <w:color w:val="auto"/>
        </w:rPr>
      </w:pPr>
    </w:p>
    <w:p>
      <w:pPr>
        <w:ind w:right="260" w:firstLine="46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2" w:lineRule="exact"/>
        <w:rPr>
          <w:sz w:val="24"/>
          <w:szCs w:val="24"/>
          <w:color w:val="auto"/>
        </w:rPr>
      </w:pPr>
    </w:p>
    <w:p>
      <w:pPr>
        <w:ind w:firstLine="504"/>
        <w:spacing w:after="0" w:line="174" w:lineRule="exact"/>
        <w:rPr>
          <w:sz w:val="20"/>
          <w:szCs w:val="20"/>
          <w:color w:val="auto"/>
        </w:rPr>
      </w:pPr>
      <w:r>
        <w:rPr>
          <w:rFonts w:ascii="Times New Roman" w:cs="Times New Roman" w:eastAsia="Times New Roman" w:hAnsi="Times New Roman"/>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000000"/>
        </w:rPr>
        <w:t>☐</w:t>
      </w:r>
    </w:p>
    <w:p>
      <w:pPr>
        <w:spacing w:after="0" w:line="13" w:lineRule="exact"/>
        <w:rPr>
          <w:sz w:val="24"/>
          <w:szCs w:val="24"/>
          <w:color w:val="auto"/>
        </w:rPr>
      </w:pPr>
    </w:p>
    <w:p>
      <w:pPr>
        <w:ind w:right="40" w:firstLine="468"/>
        <w:spacing w:after="0" w:line="174" w:lineRule="exact"/>
        <w:rPr>
          <w:sz w:val="20"/>
          <w:szCs w:val="20"/>
          <w:color w:val="auto"/>
        </w:rPr>
      </w:pPr>
      <w:r>
        <w:rPr>
          <w:rFonts w:ascii="Times New Roman" w:cs="Times New Roman" w:eastAsia="Times New Roman" w:hAnsi="Times New Roman"/>
          <w:sz w:val="13"/>
          <w:szCs w:val="13"/>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000000"/>
        </w:rPr>
        <w:t>☐</w:t>
      </w:r>
    </w:p>
    <w:p>
      <w:pPr>
        <w:sectPr>
          <w:pgSz w:w="11900" w:h="16840" w:orient="portrait"/>
          <w:cols w:equalWidth="0" w:num="1">
            <w:col w:w="10560"/>
          </w:cols>
          <w:pgMar w:left="660" w:top="1231" w:right="680" w:bottom="1440" w:gutter="0" w:footer="0" w:header="0"/>
        </w:sectPr>
      </w:pPr>
    </w:p>
    <w:p>
      <w:pPr>
        <w:ind w:left="480"/>
        <w:spacing w:after="0" w:line="150" w:lineRule="exact"/>
        <w:tabs>
          <w:tab w:leader="none" w:pos="6020" w:val="left"/>
          <w:tab w:leader="none" w:pos="65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67" w:lineRule="exact"/>
        <w:rPr>
          <w:sz w:val="24"/>
          <w:szCs w:val="24"/>
          <w:color w:val="auto"/>
        </w:rPr>
      </w:pPr>
    </w:p>
    <w:p>
      <w:pPr>
        <w:ind w:left="480" w:right="140"/>
        <w:spacing w:after="0" w:line="363" w:lineRule="auto"/>
        <w:rPr>
          <w:sz w:val="20"/>
          <w:szCs w:val="20"/>
          <w:color w:val="auto"/>
        </w:rPr>
      </w:pPr>
      <w:r>
        <w:rPr>
          <w:rFonts w:ascii="Times New Roman" w:cs="Times New Roman" w:eastAsia="Times New Roman" w:hAnsi="Times New Roman"/>
          <w:sz w:val="13"/>
          <w:szCs w:val="13"/>
          <w:color w:val="auto"/>
        </w:rPr>
        <w:t>As of June 30, 2024, the aggregate market value of the common stock held by non-affiliates of the registrant was approximately $2,193,108,361 Number of shares of common stock of the registrant outstanding as of February 24, 2025: 139,617,917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25400</wp:posOffset>
            </wp:positionV>
            <wp:extent cx="10515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1560" cy="7620"/>
                    </a:xfrm>
                    <a:prstGeom prst="rect">
                      <a:avLst/>
                    </a:prstGeom>
                    <a:noFill/>
                  </pic:spPr>
                </pic:pic>
              </a:graphicData>
            </a:graphic>
          </wp:anchor>
        </w:drawing>
      </w:r>
    </w:p>
    <w:p>
      <w:pPr>
        <w:spacing w:after="0" w:line="1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3" w:lineRule="exact"/>
        <w:rPr>
          <w:sz w:val="24"/>
          <w:szCs w:val="24"/>
          <w:color w:val="auto"/>
        </w:rPr>
      </w:pPr>
    </w:p>
    <w:p>
      <w:pPr>
        <w:ind w:left="20" w:right="3600"/>
        <w:spacing w:after="0" w:line="263" w:lineRule="auto"/>
        <w:rPr>
          <w:sz w:val="20"/>
          <w:szCs w:val="20"/>
          <w:color w:val="auto"/>
        </w:rPr>
      </w:pPr>
      <w:r>
        <w:rPr>
          <w:rFonts w:ascii="Times New Roman" w:cs="Times New Roman" w:eastAsia="Times New Roman" w:hAnsi="Times New Roman"/>
          <w:sz w:val="13"/>
          <w:szCs w:val="13"/>
          <w:color w:val="auto"/>
        </w:rPr>
        <w:t>Definitive Proxy Statement for the Annual Meeting of Stockholders which will be filed within 120 days of the fiscal year ended December 31, 2024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PART OF</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Part III of Form 10-K</w:t>
      </w:r>
    </w:p>
    <w:p>
      <w:pPr>
        <w:spacing w:after="0" w:line="90" w:lineRule="exact"/>
        <w:rPr>
          <w:sz w:val="24"/>
          <w:szCs w:val="24"/>
          <w:color w:val="auto"/>
        </w:rPr>
      </w:pPr>
    </w:p>
    <w:p>
      <w:pPr>
        <w:sectPr>
          <w:pgSz w:w="11900" w:h="16840" w:orient="portrait"/>
          <w:cols w:equalWidth="0" w:num="2">
            <w:col w:w="8220" w:space="720"/>
            <w:col w:w="1620"/>
          </w:cols>
          <w:pgMar w:left="660" w:top="1231" w:right="680" w:bottom="1440" w:gutter="0" w:footer="0" w:header="0"/>
          <w:type w:val="continuous"/>
        </w:sectPr>
      </w:pPr>
    </w:p>
    <w:p>
      <w:pPr>
        <w:ind w:left="100"/>
        <w:spacing w:after="0"/>
        <w:tabs>
          <w:tab w:leader="none" w:pos="1360" w:val="left"/>
          <w:tab w:leader="none" w:pos="3140" w:val="left"/>
          <w:tab w:leader="none" w:pos="4420" w:val="left"/>
          <w:tab w:leader="none" w:pos="6540" w:val="left"/>
          <w:tab w:leader="none" w:pos="7940" w:val="left"/>
        </w:tabs>
        <w:rPr>
          <w:sz w:val="20"/>
          <w:szCs w:val="20"/>
          <w:color w:val="auto"/>
        </w:rPr>
      </w:pPr>
      <w:r>
        <w:rPr>
          <w:rFonts w:ascii="Times New Roman" w:cs="Times New Roman" w:eastAsia="Times New Roman" w:hAnsi="Times New Roman"/>
          <w:sz w:val="13"/>
          <w:szCs w:val="13"/>
          <w:color w:val="auto"/>
        </w:rPr>
        <w:t>Auditor Firm Id:</w:t>
      </w:r>
      <w:r>
        <w:rPr>
          <w:sz w:val="20"/>
          <w:szCs w:val="20"/>
          <w:color w:val="auto"/>
        </w:rPr>
        <w:tab/>
      </w:r>
      <w:r>
        <w:rPr>
          <w:rFonts w:ascii="Times New Roman" w:cs="Times New Roman" w:eastAsia="Times New Roman" w:hAnsi="Times New Roman"/>
          <w:sz w:val="13"/>
          <w:szCs w:val="13"/>
          <w:color w:val="auto"/>
        </w:rPr>
        <w:t>185</w:t>
      </w:r>
      <w:r>
        <w:rPr>
          <w:sz w:val="20"/>
          <w:szCs w:val="20"/>
          <w:color w:val="auto"/>
        </w:rPr>
        <w:tab/>
      </w:r>
      <w:r>
        <w:rPr>
          <w:rFonts w:ascii="Times New Roman" w:cs="Times New Roman" w:eastAsia="Times New Roman" w:hAnsi="Times New Roman"/>
          <w:sz w:val="13"/>
          <w:szCs w:val="13"/>
          <w:color w:val="auto"/>
        </w:rPr>
        <w:t>Auditor Name:</w:t>
      </w:r>
      <w:r>
        <w:rPr>
          <w:sz w:val="20"/>
          <w:szCs w:val="20"/>
          <w:color w:val="auto"/>
        </w:rPr>
        <w:tab/>
      </w:r>
      <w:r>
        <w:rPr>
          <w:rFonts w:ascii="Times New Roman" w:cs="Times New Roman" w:eastAsia="Times New Roman" w:hAnsi="Times New Roman"/>
          <w:sz w:val="13"/>
          <w:szCs w:val="13"/>
          <w:color w:val="auto"/>
        </w:rPr>
        <w:t>KPMG LLP</w:t>
      </w:r>
      <w:r>
        <w:rPr>
          <w:sz w:val="20"/>
          <w:szCs w:val="20"/>
          <w:color w:val="auto"/>
        </w:rPr>
        <w:tab/>
      </w:r>
      <w:r>
        <w:rPr>
          <w:rFonts w:ascii="Times New Roman" w:cs="Times New Roman" w:eastAsia="Times New Roman" w:hAnsi="Times New Roman"/>
          <w:sz w:val="13"/>
          <w:szCs w:val="13"/>
          <w:color w:val="auto"/>
        </w:rPr>
        <w:t>Auditor Location:</w:t>
      </w:r>
      <w:r>
        <w:rPr>
          <w:sz w:val="20"/>
          <w:szCs w:val="20"/>
          <w:color w:val="auto"/>
        </w:rPr>
        <w:tab/>
      </w:r>
      <w:r>
        <w:rPr>
          <w:rFonts w:ascii="Times New Roman" w:cs="Times New Roman" w:eastAsia="Times New Roman" w:hAnsi="Times New Roman"/>
          <w:sz w:val="13"/>
          <w:szCs w:val="13"/>
          <w:color w:val="auto"/>
        </w:rPr>
        <w:t>Irvine, California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72390</wp:posOffset>
            </wp:positionV>
            <wp:extent cx="67075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623570</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31" w:right="68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40" w:type="dxa"/>
            <w:vAlign w:val="bottom"/>
            <w:gridSpan w:val="11"/>
          </w:tcPr>
          <w:p>
            <w:pPr>
              <w:jc w:val="center"/>
              <w:ind w:right="3840"/>
              <w:spacing w:after="0"/>
              <w:rPr>
                <w:sz w:val="20"/>
                <w:szCs w:val="20"/>
                <w:color w:val="auto"/>
              </w:rPr>
            </w:pPr>
            <w:r>
              <w:rPr>
                <w:rFonts w:ascii="Times New Roman" w:cs="Times New Roman" w:eastAsia="Times New Roman" w:hAnsi="Times New Roman"/>
                <w:sz w:val="16"/>
                <w:szCs w:val="16"/>
                <w:b w:val="1"/>
                <w:bCs w:val="1"/>
                <w:color w:val="auto"/>
                <w:w w:val="96"/>
              </w:rPr>
              <w:t>CVB FINANCIAL CORP.</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40" w:type="dxa"/>
            <w:vAlign w:val="bottom"/>
            <w:gridSpan w:val="13"/>
          </w:tcPr>
          <w:p>
            <w:pPr>
              <w:jc w:val="center"/>
              <w:ind w:right="3020"/>
              <w:spacing w:after="0"/>
              <w:rPr>
                <w:sz w:val="20"/>
                <w:szCs w:val="20"/>
                <w:color w:val="auto"/>
              </w:rPr>
            </w:pPr>
            <w:r>
              <w:rPr>
                <w:rFonts w:ascii="Times New Roman" w:cs="Times New Roman" w:eastAsia="Times New Roman" w:hAnsi="Times New Roman"/>
                <w:sz w:val="16"/>
                <w:szCs w:val="16"/>
                <w:b w:val="1"/>
                <w:bCs w:val="1"/>
                <w:color w:val="auto"/>
                <w:w w:val="97"/>
              </w:rPr>
              <w:t>2024 ANNUAL REPORT ON FORM 10-K</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40" w:type="dxa"/>
            <w:vAlign w:val="bottom"/>
            <w:gridSpan w:val="11"/>
          </w:tcPr>
          <w:p>
            <w:pPr>
              <w:jc w:val="center"/>
              <w:ind w:right="384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gridSpan w:val="9"/>
          </w:tcPr>
          <w:p>
            <w:pPr>
              <w:jc w:val="center"/>
              <w:ind w:right="440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w:t>
            </w:r>
          </w:p>
        </w:tc>
        <w:tc>
          <w:tcPr>
            <w:tcW w:w="740" w:type="dxa"/>
            <w:vAlign w:val="bottom"/>
            <w:tcBorders>
              <w:bottom w:val="single" w:sz="8" w:color="0000EE"/>
            </w:tcBorders>
          </w:tcPr>
          <w:p>
            <w:pPr>
              <w:spacing w:after="0"/>
              <w:rPr>
                <w:rFonts w:ascii="Times New Roman" w:cs="Times New Roman" w:eastAsia="Times New Roman" w:hAnsi="Times New Roman"/>
                <w:sz w:val="16"/>
                <w:szCs w:val="16"/>
                <w:color w:val="0000FF"/>
                <w:w w:val="95"/>
              </w:rPr>
            </w:pPr>
            <w:hyperlink w:anchor="page4">
              <w:r>
                <w:rPr>
                  <w:rFonts w:ascii="Times New Roman" w:cs="Times New Roman" w:eastAsia="Times New Roman" w:hAnsi="Times New Roman"/>
                  <w:sz w:val="16"/>
                  <w:szCs w:val="16"/>
                  <w:color w:val="0000FF"/>
                  <w:w w:val="95"/>
                </w:rPr>
                <w:t>BUSINESS</w:t>
              </w:r>
            </w:hyperlink>
          </w:p>
        </w:tc>
        <w:tc>
          <w:tcPr>
            <w:tcW w:w="8200" w:type="dxa"/>
            <w:vAlign w:val="bottom"/>
            <w:gridSpan w:val="2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1A.</w:t>
            </w:r>
          </w:p>
        </w:tc>
        <w:tc>
          <w:tcPr>
            <w:tcW w:w="8940" w:type="dxa"/>
            <w:vAlign w:val="bottom"/>
            <w:gridSpan w:val="28"/>
          </w:tcPr>
          <w:p>
            <w:pPr>
              <w:spacing w:after="0" w:line="160" w:lineRule="exact"/>
              <w:rPr>
                <w:rFonts w:ascii="Times New Roman" w:cs="Times New Roman" w:eastAsia="Times New Roman" w:hAnsi="Times New Roman"/>
                <w:sz w:val="16"/>
                <w:szCs w:val="16"/>
                <w:color w:val="0000FF"/>
              </w:rPr>
            </w:pPr>
            <w:hyperlink w:anchor="page19">
              <w:r>
                <w:rPr>
                  <w:rFonts w:ascii="Times New Roman" w:cs="Times New Roman" w:eastAsia="Times New Roman" w:hAnsi="Times New Roman"/>
                  <w:sz w:val="16"/>
                  <w:szCs w:val="16"/>
                  <w:color w:val="0000FF"/>
                </w:rPr>
                <w:t>RISK FACTORS</w:t>
              </w:r>
            </w:hyperlink>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1B.</w:t>
            </w:r>
          </w:p>
        </w:tc>
        <w:tc>
          <w:tcPr>
            <w:tcW w:w="108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w w:val="99"/>
              </w:rPr>
            </w:pPr>
            <w:hyperlink w:anchor="page33">
              <w:r>
                <w:rPr>
                  <w:rFonts w:ascii="Times New Roman" w:cs="Times New Roman" w:eastAsia="Times New Roman" w:hAnsi="Times New Roman"/>
                  <w:sz w:val="16"/>
                  <w:szCs w:val="16"/>
                  <w:color w:val="0000FF"/>
                  <w:w w:val="99"/>
                </w:rPr>
                <w:t>UNRESOLVED</w:t>
              </w:r>
            </w:hyperlink>
          </w:p>
        </w:tc>
        <w:tc>
          <w:tcPr>
            <w:tcW w:w="7860" w:type="dxa"/>
            <w:vAlign w:val="bottom"/>
            <w:gridSpan w:val="23"/>
          </w:tcPr>
          <w:p>
            <w:pPr>
              <w:spacing w:after="0" w:line="160" w:lineRule="exact"/>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STAFF COMMENTS</w:t>
              </w:r>
            </w:hyperlink>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1C.</w:t>
            </w:r>
          </w:p>
        </w:tc>
        <w:tc>
          <w:tcPr>
            <w:tcW w:w="246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CYBERSECURITY</w:t>
              </w:r>
            </w:hyperlink>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2.</w:t>
            </w:r>
          </w:p>
        </w:tc>
        <w:tc>
          <w:tcPr>
            <w:tcW w:w="92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FF"/>
                <w:w w:val="95"/>
              </w:rPr>
            </w:pPr>
            <w:hyperlink w:anchor="page35">
              <w:r>
                <w:rPr>
                  <w:rFonts w:ascii="Times New Roman" w:cs="Times New Roman" w:eastAsia="Times New Roman" w:hAnsi="Times New Roman"/>
                  <w:sz w:val="16"/>
                  <w:szCs w:val="16"/>
                  <w:color w:val="0000FF"/>
                  <w:w w:val="95"/>
                </w:rPr>
                <w:t>PROPERTIES</w:t>
              </w:r>
            </w:hyperlink>
          </w:p>
        </w:tc>
        <w:tc>
          <w:tcPr>
            <w:tcW w:w="360" w:type="dxa"/>
            <w:vAlign w:val="bottom"/>
            <w:tcBorders>
              <w:top w:val="single" w:sz="8" w:color="0000EE"/>
            </w:tcBorders>
            <w:gridSpan w:val="2"/>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3.</w:t>
            </w:r>
          </w:p>
        </w:tc>
        <w:tc>
          <w:tcPr>
            <w:tcW w:w="1620" w:type="dxa"/>
            <w:vAlign w:val="bottom"/>
            <w:tcBorders>
              <w:bottom w:val="single" w:sz="8" w:color="0000EE"/>
            </w:tcBorders>
            <w:gridSpan w:val="9"/>
          </w:tcPr>
          <w:p>
            <w:pPr>
              <w:spacing w:after="0" w:line="160" w:lineRule="exact"/>
              <w:rPr>
                <w:rFonts w:ascii="Times New Roman" w:cs="Times New Roman" w:eastAsia="Times New Roman" w:hAnsi="Times New Roman"/>
                <w:sz w:val="16"/>
                <w:szCs w:val="16"/>
                <w:color w:val="0000FF"/>
                <w:w w:val="95"/>
              </w:rPr>
            </w:pPr>
            <w:hyperlink w:anchor="page35">
              <w:r>
                <w:rPr>
                  <w:rFonts w:ascii="Times New Roman" w:cs="Times New Roman" w:eastAsia="Times New Roman" w:hAnsi="Times New Roman"/>
                  <w:sz w:val="16"/>
                  <w:szCs w:val="16"/>
                  <w:color w:val="0000FF"/>
                  <w:w w:val="95"/>
                </w:rPr>
                <w:t>LEGAL PROCEEDINGS</w:t>
              </w:r>
            </w:hyperlink>
          </w:p>
        </w:tc>
        <w:tc>
          <w:tcPr>
            <w:tcW w:w="7320" w:type="dxa"/>
            <w:vAlign w:val="bottom"/>
            <w:gridSpan w:val="19"/>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4.</w:t>
            </w:r>
          </w:p>
        </w:tc>
        <w:tc>
          <w:tcPr>
            <w:tcW w:w="8940" w:type="dxa"/>
            <w:vAlign w:val="bottom"/>
            <w:gridSpan w:val="28"/>
          </w:tcPr>
          <w:p>
            <w:pPr>
              <w:spacing w:after="0" w:line="160" w:lineRule="exact"/>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0000FF"/>
                </w:rPr>
                <w:t>MINE SAFETY DISCLOSURES</w:t>
              </w:r>
            </w:hyperlink>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50"/>
        </w:trPr>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gridSpan w:val="9"/>
          </w:tcPr>
          <w:p>
            <w:pPr>
              <w:jc w:val="center"/>
              <w:ind w:right="4380"/>
              <w:spacing w:after="0"/>
              <w:rPr>
                <w:sz w:val="20"/>
                <w:szCs w:val="20"/>
                <w:color w:val="auto"/>
              </w:rPr>
            </w:pPr>
            <w:r>
              <w:rPr>
                <w:rFonts w:ascii="Times New Roman" w:cs="Times New Roman" w:eastAsia="Times New Roman" w:hAnsi="Times New Roman"/>
                <w:sz w:val="16"/>
                <w:szCs w:val="16"/>
                <w:b w:val="1"/>
                <w:bCs w:val="1"/>
                <w:color w:val="auto"/>
                <w:w w:val="96"/>
              </w:rPr>
              <w:t>PART II</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5.</w:t>
            </w:r>
          </w:p>
        </w:tc>
        <w:tc>
          <w:tcPr>
            <w:tcW w:w="8940" w:type="dxa"/>
            <w:vAlign w:val="bottom"/>
            <w:tcBorders>
              <w:bottom w:val="single" w:sz="8" w:color="0000EE"/>
            </w:tcBorders>
            <w:gridSpan w:val="28"/>
          </w:tcPr>
          <w:p>
            <w:pPr>
              <w:spacing w:after="0"/>
              <w:rPr>
                <w:rFonts w:ascii="Times New Roman" w:cs="Times New Roman" w:eastAsia="Times New Roman" w:hAnsi="Times New Roman"/>
                <w:sz w:val="16"/>
                <w:szCs w:val="16"/>
                <w:color w:val="0000FF"/>
                <w:w w:val="97"/>
              </w:rPr>
            </w:pPr>
            <w:hyperlink w:anchor="page36">
              <w:r>
                <w:rPr>
                  <w:rFonts w:ascii="Times New Roman" w:cs="Times New Roman" w:eastAsia="Times New Roman" w:hAnsi="Times New Roman"/>
                  <w:sz w:val="16"/>
                  <w:szCs w:val="16"/>
                  <w:color w:val="0000FF"/>
                  <w:w w:val="97"/>
                </w:rPr>
                <w:t>MARKET FOR THE REGISTRANT’S COMMON EQUITY, RELATED STOCKHO10-LDER MATTERS AND ISSUER PURCHASES OF</w:t>
              </w:r>
            </w:hyperlink>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940" w:type="dxa"/>
            <w:vAlign w:val="bottom"/>
            <w:gridSpan w:val="28"/>
          </w:tcPr>
          <w:p>
            <w:pPr>
              <w:spacing w:after="0" w:line="160" w:lineRule="exact"/>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0000FF"/>
                </w:rPr>
                <w:t>EQUITY SECURITIES</w:t>
              </w:r>
            </w:hyperlink>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6.</w:t>
            </w:r>
          </w:p>
        </w:tc>
        <w:tc>
          <w:tcPr>
            <w:tcW w:w="80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4"/>
              </w:rPr>
            </w:pPr>
            <w:hyperlink w:anchor="page38">
              <w:r>
                <w:rPr>
                  <w:rFonts w:ascii="Times New Roman" w:cs="Times New Roman" w:eastAsia="Times New Roman" w:hAnsi="Times New Roman"/>
                  <w:sz w:val="16"/>
                  <w:szCs w:val="16"/>
                  <w:color w:val="0000FF"/>
                  <w:w w:val="94"/>
                </w:rPr>
                <w:t>RESERVED</w:t>
              </w:r>
            </w:hyperlink>
          </w:p>
        </w:tc>
        <w:tc>
          <w:tcPr>
            <w:tcW w:w="70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5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7.</w:t>
            </w:r>
          </w:p>
        </w:tc>
        <w:tc>
          <w:tcPr>
            <w:tcW w:w="8940" w:type="dxa"/>
            <w:vAlign w:val="bottom"/>
            <w:gridSpan w:val="28"/>
          </w:tcPr>
          <w:p>
            <w:pPr>
              <w:spacing w:after="0" w:line="160" w:lineRule="exact"/>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MANAGEMENT’S DISCUSSION AND ANALYSIS OF FINANCIAL CONDITION AND RESULTS OF OPERATIONS</w:t>
              </w:r>
            </w:hyperlink>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76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CRITICAL ACCOUNTING POLICIES</w:t>
              </w:r>
            </w:hyperlink>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0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OVERVIEW</w:t>
              </w:r>
            </w:hyperlink>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ANALYSIS</w:t>
              </w:r>
            </w:hyperlink>
          </w:p>
        </w:tc>
        <w:tc>
          <w:tcPr>
            <w:tcW w:w="8120" w:type="dxa"/>
            <w:vAlign w:val="bottom"/>
            <w:gridSpan w:val="25"/>
          </w:tcPr>
          <w:p>
            <w:pPr>
              <w:spacing w:after="0" w:line="160" w:lineRule="exact"/>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OF THE RESULTS OF OPERATIONS</w:t>
              </w:r>
            </w:hyperlink>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ANALYSIS OF FINANCIAL CONDITION</w:t>
              </w:r>
            </w:hyperlink>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rPr>
            </w:pPr>
            <w:hyperlink w:anchor="page71">
              <w:r>
                <w:rPr>
                  <w:rFonts w:ascii="Times New Roman" w:cs="Times New Roman" w:eastAsia="Times New Roman" w:hAnsi="Times New Roman"/>
                  <w:sz w:val="16"/>
                  <w:szCs w:val="16"/>
                  <w:color w:val="0000FF"/>
                </w:rPr>
                <w:t>RISK MANAGEMENT</w:t>
              </w:r>
            </w:hyperlink>
          </w:p>
        </w:tc>
        <w:tc>
          <w:tcPr>
            <w:tcW w:w="62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7A.</w:t>
            </w:r>
          </w:p>
        </w:tc>
        <w:tc>
          <w:tcPr>
            <w:tcW w:w="152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FF"/>
                <w:w w:val="95"/>
              </w:rPr>
            </w:pPr>
            <w:hyperlink w:anchor="page80">
              <w:r>
                <w:rPr>
                  <w:rFonts w:ascii="Times New Roman" w:cs="Times New Roman" w:eastAsia="Times New Roman" w:hAnsi="Times New Roman"/>
                  <w:sz w:val="16"/>
                  <w:szCs w:val="16"/>
                  <w:color w:val="0000FF"/>
                  <w:w w:val="95"/>
                </w:rPr>
                <w:t>QUANTITATIVE AND</w:t>
              </w:r>
            </w:hyperlink>
          </w:p>
        </w:tc>
        <w:tc>
          <w:tcPr>
            <w:tcW w:w="7420" w:type="dxa"/>
            <w:vAlign w:val="bottom"/>
            <w:gridSpan w:val="20"/>
          </w:tcPr>
          <w:p>
            <w:pPr>
              <w:ind w:left="60"/>
              <w:spacing w:after="0" w:line="160" w:lineRule="exact"/>
              <w:rPr>
                <w:rFonts w:ascii="Times New Roman" w:cs="Times New Roman" w:eastAsia="Times New Roman" w:hAnsi="Times New Roman"/>
                <w:sz w:val="16"/>
                <w:szCs w:val="16"/>
                <w:color w:val="0000FF"/>
              </w:rPr>
            </w:pPr>
            <w:hyperlink w:anchor="page80">
              <w:r>
                <w:rPr>
                  <w:rFonts w:ascii="Times New Roman" w:cs="Times New Roman" w:eastAsia="Times New Roman" w:hAnsi="Times New Roman"/>
                  <w:sz w:val="16"/>
                  <w:szCs w:val="16"/>
                  <w:color w:val="0000FF"/>
                </w:rPr>
                <w:t>QUALITATIVE DISCLOSURES ABOUT MARKET RISK</w:t>
              </w:r>
            </w:hyperlink>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8.</w:t>
            </w:r>
          </w:p>
        </w:tc>
        <w:tc>
          <w:tcPr>
            <w:tcW w:w="538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rPr>
            </w:pPr>
            <w:hyperlink w:anchor="page81">
              <w:r>
                <w:rPr>
                  <w:rFonts w:ascii="Times New Roman" w:cs="Times New Roman" w:eastAsia="Times New Roman" w:hAnsi="Times New Roman"/>
                  <w:sz w:val="16"/>
                  <w:szCs w:val="16"/>
                  <w:color w:val="0000FF"/>
                </w:rPr>
                <w:t>FINANCIAL STATEMENTS AND SUPPLEMENTARY DATA</w:t>
              </w:r>
            </w:hyperlink>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9.</w:t>
            </w:r>
          </w:p>
        </w:tc>
        <w:tc>
          <w:tcPr>
            <w:tcW w:w="412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w w:val="92"/>
              </w:rPr>
            </w:pPr>
            <w:hyperlink w:anchor="page81">
              <w:r>
                <w:rPr>
                  <w:rFonts w:ascii="Times New Roman" w:cs="Times New Roman" w:eastAsia="Times New Roman" w:hAnsi="Times New Roman"/>
                  <w:sz w:val="16"/>
                  <w:szCs w:val="16"/>
                  <w:color w:val="0000FF"/>
                  <w:w w:val="92"/>
                </w:rPr>
                <w:t>CHANGES IN AND DISAGREEMENTS WITH ACCOUNTANTS</w:t>
              </w:r>
            </w:hyperlink>
          </w:p>
        </w:tc>
        <w:tc>
          <w:tcPr>
            <w:tcW w:w="4820" w:type="dxa"/>
            <w:vAlign w:val="bottom"/>
            <w:gridSpan w:val="8"/>
          </w:tcPr>
          <w:p>
            <w:pPr>
              <w:ind w:left="220"/>
              <w:spacing w:after="0" w:line="160" w:lineRule="exact"/>
              <w:rPr>
                <w:rFonts w:ascii="Times New Roman" w:cs="Times New Roman" w:eastAsia="Times New Roman" w:hAnsi="Times New Roman"/>
                <w:sz w:val="16"/>
                <w:szCs w:val="16"/>
                <w:color w:val="0000FF"/>
              </w:rPr>
            </w:pPr>
            <w:hyperlink w:anchor="page81">
              <w:r>
                <w:rPr>
                  <w:rFonts w:ascii="Times New Roman" w:cs="Times New Roman" w:eastAsia="Times New Roman" w:hAnsi="Times New Roman"/>
                  <w:sz w:val="16"/>
                  <w:szCs w:val="16"/>
                  <w:color w:val="0000FF"/>
                </w:rPr>
                <w:t>ON ACCOUNTING AND FINANCIAL DISCLOSURE</w:t>
              </w:r>
            </w:hyperlink>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9A.</w:t>
            </w:r>
          </w:p>
        </w:tc>
        <w:tc>
          <w:tcPr>
            <w:tcW w:w="788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FF"/>
              </w:rPr>
            </w:pPr>
            <w:hyperlink w:anchor="page81">
              <w:r>
                <w:rPr>
                  <w:rFonts w:ascii="Times New Roman" w:cs="Times New Roman" w:eastAsia="Times New Roman" w:hAnsi="Times New Roman"/>
                  <w:sz w:val="16"/>
                  <w:szCs w:val="16"/>
                  <w:color w:val="0000FF"/>
                </w:rPr>
                <w:t>CONTROLS AND PROCEDURES</w:t>
              </w:r>
            </w:hyperlink>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9B.</w:t>
            </w:r>
          </w:p>
        </w:tc>
        <w:tc>
          <w:tcPr>
            <w:tcW w:w="226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rPr>
            </w:pPr>
            <w:hyperlink w:anchor="page83">
              <w:r>
                <w:rPr>
                  <w:rFonts w:ascii="Times New Roman" w:cs="Times New Roman" w:eastAsia="Times New Roman" w:hAnsi="Times New Roman"/>
                  <w:sz w:val="16"/>
                  <w:szCs w:val="16"/>
                  <w:color w:val="0000FF"/>
                </w:rPr>
                <w:t>OTHER INFORMATION</w:t>
              </w:r>
            </w:hyperlink>
          </w:p>
        </w:tc>
        <w:tc>
          <w:tcPr>
            <w:tcW w:w="1160" w:type="dxa"/>
            <w:vAlign w:val="bottom"/>
            <w:gridSpan w:val="5"/>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2"/>
          </w:tcPr>
          <w:p>
            <w:pPr>
              <w:spacing w:after="0"/>
              <w:rPr>
                <w:sz w:val="13"/>
                <w:szCs w:val="13"/>
                <w:color w:val="auto"/>
              </w:rPr>
            </w:pPr>
          </w:p>
        </w:tc>
        <w:tc>
          <w:tcPr>
            <w:tcW w:w="10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2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ind w:left="100"/>
              <w:spacing w:after="0" w:line="180" w:lineRule="exact"/>
              <w:rPr>
                <w:sz w:val="20"/>
                <w:szCs w:val="20"/>
                <w:color w:val="auto"/>
              </w:rPr>
            </w:pPr>
            <w:r>
              <w:rPr>
                <w:rFonts w:ascii="Times New Roman" w:cs="Times New Roman" w:eastAsia="Times New Roman" w:hAnsi="Times New Roman"/>
                <w:sz w:val="16"/>
                <w:szCs w:val="16"/>
                <w:color w:val="auto"/>
              </w:rPr>
              <w:t>ITEM 9C.</w:t>
            </w:r>
          </w:p>
        </w:tc>
        <w:tc>
          <w:tcPr>
            <w:tcW w:w="1640" w:type="dxa"/>
            <w:vAlign w:val="bottom"/>
            <w:gridSpan w:val="10"/>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line="20" w:lineRule="exact"/>
              <w:rPr>
                <w:sz w:val="1"/>
                <w:szCs w:val="1"/>
                <w:color w:val="auto"/>
              </w:rPr>
            </w:pPr>
          </w:p>
        </w:tc>
      </w:tr>
      <w:tr>
        <w:trPr>
          <w:trHeight w:val="160"/>
        </w:trPr>
        <w:tc>
          <w:tcPr>
            <w:tcW w:w="1080" w:type="dxa"/>
            <w:vAlign w:val="bottom"/>
            <w:gridSpan w:val="2"/>
            <w:vMerge w:val="continue"/>
          </w:tcPr>
          <w:p>
            <w:pPr>
              <w:spacing w:after="0"/>
              <w:rPr>
                <w:sz w:val="13"/>
                <w:szCs w:val="13"/>
                <w:color w:val="auto"/>
              </w:rPr>
            </w:pPr>
          </w:p>
        </w:tc>
        <w:tc>
          <w:tcPr>
            <w:tcW w:w="6040" w:type="dxa"/>
            <w:vAlign w:val="bottom"/>
            <w:tcBorders>
              <w:bottom w:val="single" w:sz="8" w:color="0000EE"/>
            </w:tcBorders>
            <w:gridSpan w:val="23"/>
          </w:tcPr>
          <w:p>
            <w:pPr>
              <w:spacing w:after="0" w:line="160" w:lineRule="exact"/>
              <w:rPr>
                <w:rFonts w:ascii="Times New Roman" w:cs="Times New Roman" w:eastAsia="Times New Roman" w:hAnsi="Times New Roman"/>
                <w:sz w:val="16"/>
                <w:szCs w:val="16"/>
                <w:color w:val="0000FF"/>
                <w:w w:val="97"/>
              </w:rPr>
            </w:pPr>
            <w:hyperlink w:anchor="page83">
              <w:r>
                <w:rPr>
                  <w:rFonts w:ascii="Times New Roman" w:cs="Times New Roman" w:eastAsia="Times New Roman" w:hAnsi="Times New Roman"/>
                  <w:sz w:val="16"/>
                  <w:szCs w:val="16"/>
                  <w:color w:val="0000FF"/>
                  <w:w w:val="97"/>
                </w:rPr>
                <w:t>DISCLOSURE REGARDING FOREIGN JURISDICTIONS THAT PREVENT INSPECTIONS</w:t>
              </w:r>
            </w:hyperlink>
          </w:p>
        </w:tc>
        <w:tc>
          <w:tcPr>
            <w:tcW w:w="2900" w:type="dxa"/>
            <w:vAlign w:val="bottom"/>
            <w:gridSpan w:val="5"/>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0"/>
        </w:trPr>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gridSpan w:val="9"/>
          </w:tcPr>
          <w:p>
            <w:pPr>
              <w:jc w:val="center"/>
              <w:ind w:right="4400"/>
              <w:spacing w:after="0"/>
              <w:rPr>
                <w:sz w:val="20"/>
                <w:szCs w:val="20"/>
                <w:color w:val="auto"/>
              </w:rPr>
            </w:pPr>
            <w:r>
              <w:rPr>
                <w:rFonts w:ascii="Times New Roman" w:cs="Times New Roman" w:eastAsia="Times New Roman" w:hAnsi="Times New Roman"/>
                <w:sz w:val="16"/>
                <w:szCs w:val="16"/>
                <w:b w:val="1"/>
                <w:bCs w:val="1"/>
                <w:color w:val="auto"/>
                <w:w w:val="96"/>
              </w:rPr>
              <w:t>PART III</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10.</w:t>
            </w:r>
          </w:p>
        </w:tc>
        <w:tc>
          <w:tcPr>
            <w:tcW w:w="8940" w:type="dxa"/>
            <w:vAlign w:val="bottom"/>
            <w:gridSpan w:val="28"/>
          </w:tcPr>
          <w:p>
            <w:pPr>
              <w:spacing w:after="0"/>
              <w:rPr>
                <w:rFonts w:ascii="Times New Roman" w:cs="Times New Roman" w:eastAsia="Times New Roman" w:hAnsi="Times New Roman"/>
                <w:sz w:val="16"/>
                <w:szCs w:val="16"/>
                <w:color w:val="0000FF"/>
              </w:rPr>
            </w:pPr>
            <w:hyperlink w:anchor="page84">
              <w:r>
                <w:rPr>
                  <w:rFonts w:ascii="Times New Roman" w:cs="Times New Roman" w:eastAsia="Times New Roman" w:hAnsi="Times New Roman"/>
                  <w:sz w:val="16"/>
                  <w:szCs w:val="16"/>
                  <w:color w:val="0000FF"/>
                </w:rPr>
                <w:t>DIRECTORS, EXECUTIVE OFFICERS AND CORPORATE GOVERNANCE</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11.</w:t>
            </w:r>
          </w:p>
        </w:tc>
        <w:tc>
          <w:tcPr>
            <w:tcW w:w="50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w:anchor="page84">
              <w:r>
                <w:rPr>
                  <w:rFonts w:ascii="Times New Roman" w:cs="Times New Roman" w:eastAsia="Times New Roman" w:hAnsi="Times New Roman"/>
                  <w:sz w:val="16"/>
                  <w:szCs w:val="16"/>
                  <w:color w:val="0000FF"/>
                </w:rPr>
                <w:t>EXECUTIVE COMPENSATION</w:t>
              </w:r>
            </w:hyperlink>
          </w:p>
        </w:tc>
        <w:tc>
          <w:tcPr>
            <w:tcW w:w="1680" w:type="dxa"/>
            <w:vAlign w:val="bottom"/>
            <w:gridSpan w:val="3"/>
          </w:tcPr>
          <w:p>
            <w:pPr>
              <w:spacing w:after="0"/>
              <w:rPr>
                <w:sz w:val="13"/>
                <w:szCs w:val="13"/>
                <w:color w:val="auto"/>
              </w:rPr>
            </w:pPr>
          </w:p>
        </w:tc>
        <w:tc>
          <w:tcPr>
            <w:tcW w:w="2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12.</w:t>
            </w:r>
          </w:p>
        </w:tc>
        <w:tc>
          <w:tcPr>
            <w:tcW w:w="214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FF"/>
              </w:rPr>
            </w:pPr>
            <w:hyperlink w:anchor="page84">
              <w:r>
                <w:rPr>
                  <w:rFonts w:ascii="Times New Roman" w:cs="Times New Roman" w:eastAsia="Times New Roman" w:hAnsi="Times New Roman"/>
                  <w:sz w:val="16"/>
                  <w:szCs w:val="16"/>
                  <w:color w:val="0000FF"/>
                </w:rPr>
                <w:t>SECURITY OWNERSHIP OF</w:t>
              </w:r>
            </w:hyperlink>
          </w:p>
        </w:tc>
        <w:tc>
          <w:tcPr>
            <w:tcW w:w="6800" w:type="dxa"/>
            <w:vAlign w:val="bottom"/>
            <w:gridSpan w:val="16"/>
          </w:tcPr>
          <w:p>
            <w:pPr>
              <w:spacing w:after="0" w:line="160" w:lineRule="exact"/>
              <w:rPr>
                <w:rFonts w:ascii="Times New Roman" w:cs="Times New Roman" w:eastAsia="Times New Roman" w:hAnsi="Times New Roman"/>
                <w:sz w:val="16"/>
                <w:szCs w:val="16"/>
                <w:color w:val="0000FF"/>
                <w:w w:val="95"/>
              </w:rPr>
            </w:pPr>
            <w:hyperlink w:anchor="page84">
              <w:r>
                <w:rPr>
                  <w:rFonts w:ascii="Times New Roman" w:cs="Times New Roman" w:eastAsia="Times New Roman" w:hAnsi="Times New Roman"/>
                  <w:sz w:val="16"/>
                  <w:szCs w:val="16"/>
                  <w:color w:val="0000FF"/>
                  <w:w w:val="95"/>
                </w:rPr>
                <w:t>CERTAIN BENEFICIAL OWNERS AND MANAGEMENT AND RELATED STOCKHOLDER MATTERS</w:t>
              </w:r>
            </w:hyperlink>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13.</w:t>
            </w:r>
          </w:p>
        </w:tc>
        <w:tc>
          <w:tcPr>
            <w:tcW w:w="892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0000FF"/>
              </w:rPr>
            </w:pPr>
            <w:hyperlink w:anchor="page85">
              <w:r>
                <w:rPr>
                  <w:rFonts w:ascii="Times New Roman" w:cs="Times New Roman" w:eastAsia="Times New Roman" w:hAnsi="Times New Roman"/>
                  <w:sz w:val="16"/>
                  <w:szCs w:val="16"/>
                  <w:color w:val="0000FF"/>
                </w:rPr>
                <w:t>CERTAIN RELATIONSHIPS AND RELATED TRANSACTIONS, AND DIRECTOR INDEPENDENCE</w:t>
              </w:r>
            </w:hyperlink>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14.</w:t>
            </w:r>
          </w:p>
        </w:tc>
        <w:tc>
          <w:tcPr>
            <w:tcW w:w="672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FF"/>
              </w:rPr>
            </w:pPr>
            <w:hyperlink w:anchor="page85">
              <w:r>
                <w:rPr>
                  <w:rFonts w:ascii="Times New Roman" w:cs="Times New Roman" w:eastAsia="Times New Roman" w:hAnsi="Times New Roman"/>
                  <w:sz w:val="16"/>
                  <w:szCs w:val="16"/>
                  <w:color w:val="0000FF"/>
                </w:rPr>
                <w:t>PRINCIPAL ACCOUNTING FEES AND SERVICES</w:t>
              </w:r>
            </w:hyperlink>
          </w:p>
        </w:tc>
        <w:tc>
          <w:tcPr>
            <w:tcW w:w="2220" w:type="dxa"/>
            <w:vAlign w:val="bottom"/>
            <w:gridSpan w:val="4"/>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350"/>
        </w:trPr>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gridSpan w:val="9"/>
          </w:tcPr>
          <w:p>
            <w:pPr>
              <w:jc w:val="center"/>
              <w:ind w:right="4400"/>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2"/>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15.</w:t>
            </w:r>
          </w:p>
        </w:tc>
        <w:tc>
          <w:tcPr>
            <w:tcW w:w="8940" w:type="dxa"/>
            <w:vAlign w:val="bottom"/>
            <w:gridSpan w:val="28"/>
          </w:tcPr>
          <w:p>
            <w:pPr>
              <w:spacing w:after="0"/>
              <w:rPr>
                <w:rFonts w:ascii="Times New Roman" w:cs="Times New Roman" w:eastAsia="Times New Roman" w:hAnsi="Times New Roman"/>
                <w:sz w:val="16"/>
                <w:szCs w:val="16"/>
                <w:color w:val="0000FF"/>
              </w:rPr>
            </w:pPr>
            <w:hyperlink w:anchor="page86">
              <w:r>
                <w:rPr>
                  <w:rFonts w:ascii="Times New Roman" w:cs="Times New Roman" w:eastAsia="Times New Roman" w:hAnsi="Times New Roman"/>
                  <w:sz w:val="16"/>
                  <w:szCs w:val="16"/>
                  <w:color w:val="0000FF"/>
                </w:rPr>
                <w:t>EXHIBITS AND FINANCIAL STATEMENT SCHEDULES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ITEM 16.</w:t>
            </w:r>
          </w:p>
        </w:tc>
        <w:tc>
          <w:tcPr>
            <w:tcW w:w="164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FF"/>
                <w:w w:val="95"/>
              </w:rPr>
            </w:pPr>
            <w:hyperlink w:anchor="page86">
              <w:r>
                <w:rPr>
                  <w:rFonts w:ascii="Times New Roman" w:cs="Times New Roman" w:eastAsia="Times New Roman" w:hAnsi="Times New Roman"/>
                  <w:sz w:val="16"/>
                  <w:szCs w:val="16"/>
                  <w:color w:val="0000FF"/>
                  <w:w w:val="95"/>
                </w:rPr>
                <w:t>FORM 10-K SUMMARY</w:t>
              </w:r>
            </w:hyperlink>
          </w:p>
        </w:tc>
        <w:tc>
          <w:tcPr>
            <w:tcW w:w="2220" w:type="dxa"/>
            <w:vAlign w:val="bottom"/>
            <w:tcBorders>
              <w:top w:val="single" w:sz="8" w:color="0000EE"/>
            </w:tcBorders>
            <w:gridSpan w:val="9"/>
          </w:tcPr>
          <w:p>
            <w:pPr>
              <w:spacing w:after="0"/>
              <w:rPr>
                <w:sz w:val="13"/>
                <w:szCs w:val="13"/>
                <w:color w:val="auto"/>
              </w:rPr>
            </w:pPr>
          </w:p>
        </w:tc>
        <w:tc>
          <w:tcPr>
            <w:tcW w:w="5080" w:type="dxa"/>
            <w:vAlign w:val="bottom"/>
            <w:gridSpan w:val="9"/>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60"/>
        </w:trPr>
        <w:tc>
          <w:tcPr>
            <w:tcW w:w="1080" w:type="dxa"/>
            <w:vAlign w:val="bottom"/>
            <w:gridSpan w:val="2"/>
          </w:tcPr>
          <w:p>
            <w:pPr>
              <w:ind w:left="100"/>
              <w:spacing w:after="0" w:line="160" w:lineRule="exact"/>
              <w:rPr>
                <w:rFonts w:ascii="Times New Roman" w:cs="Times New Roman" w:eastAsia="Times New Roman" w:hAnsi="Times New Roman"/>
                <w:sz w:val="16"/>
                <w:szCs w:val="16"/>
                <w:color w:val="0000FF"/>
                <w:w w:val="96"/>
              </w:rPr>
            </w:pPr>
            <w:hyperlink w:anchor="page89">
              <w:r>
                <w:rPr>
                  <w:rFonts w:ascii="Times New Roman" w:cs="Times New Roman" w:eastAsia="Times New Roman" w:hAnsi="Times New Roman"/>
                  <w:sz w:val="16"/>
                  <w:szCs w:val="16"/>
                  <w:color w:val="0000FF"/>
                  <w:w w:val="96"/>
                </w:rPr>
                <w:t>SIGNATURES</w:t>
              </w:r>
            </w:hyperlink>
          </w:p>
        </w:tc>
        <w:tc>
          <w:tcPr>
            <w:tcW w:w="5040" w:type="dxa"/>
            <w:vAlign w:val="bottom"/>
            <w:gridSpan w:val="21"/>
            <w:vMerge w:val="restart"/>
          </w:tcPr>
          <w:p>
            <w:pPr>
              <w:jc w:val="center"/>
              <w:ind w:left="3282"/>
              <w:spacing w:after="0"/>
              <w:rPr>
                <w:sz w:val="20"/>
                <w:szCs w:val="20"/>
                <w:color w:val="auto"/>
              </w:rPr>
            </w:pPr>
            <w:r>
              <w:rPr>
                <w:rFonts w:ascii="Times New Roman" w:cs="Times New Roman" w:eastAsia="Times New Roman" w:hAnsi="Times New Roman"/>
                <w:sz w:val="16"/>
                <w:szCs w:val="16"/>
                <w:color w:val="auto"/>
                <w:w w:val="99"/>
              </w:rPr>
              <w:t>1</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470"/>
        </w:trPr>
        <w:tc>
          <w:tcPr>
            <w:tcW w:w="10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5040" w:type="dxa"/>
            <w:vAlign w:val="bottom"/>
            <w:gridSpan w:val="21"/>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1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Forward-Looking Statements Safe Harbor</w:t>
      </w:r>
    </w:p>
    <w:p>
      <w:pPr>
        <w:spacing w:after="0" w:line="58" w:lineRule="exact"/>
        <w:rPr>
          <w:sz w:val="20"/>
          <w:szCs w:val="20"/>
          <w:color w:val="auto"/>
        </w:rPr>
      </w:pPr>
    </w:p>
    <w:p>
      <w:pPr>
        <w:ind w:right="60" w:firstLine="588"/>
        <w:spacing w:after="0" w:line="237" w:lineRule="auto"/>
        <w:rPr>
          <w:sz w:val="20"/>
          <w:szCs w:val="20"/>
          <w:color w:val="auto"/>
        </w:rPr>
      </w:pPr>
      <w:r>
        <w:rPr>
          <w:rFonts w:ascii="Times New Roman" w:cs="Times New Roman" w:eastAsia="Times New Roman" w:hAnsi="Times New Roman"/>
          <w:sz w:val="16"/>
          <w:szCs w:val="16"/>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our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and goals, and statements about the Company’s outlook regarding revenue and asset growth, financial performance and profitability, capital and liquidity levels, loan and deposit growth and retention, yields and returns, loan diversification and credit management, stockholder value creation, tax rates, and the impact of economic developments,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90" w:lineRule="exact"/>
        <w:rPr>
          <w:sz w:val="20"/>
          <w:szCs w:val="20"/>
          <w:color w:val="auto"/>
        </w:rPr>
      </w:pPr>
    </w:p>
    <w:p>
      <w:pPr>
        <w:ind w:firstLine="588"/>
        <w:spacing w:after="0" w:line="271" w:lineRule="auto"/>
        <w:rPr>
          <w:sz w:val="20"/>
          <w:szCs w:val="20"/>
          <w:color w:val="auto"/>
        </w:rPr>
      </w:pPr>
      <w:r>
        <w:rPr>
          <w:rFonts w:ascii="Times New Roman" w:cs="Times New Roman" w:eastAsia="Times New Roman" w:hAnsi="Times New Roman"/>
          <w:sz w:val="14"/>
          <w:szCs w:val="14"/>
          <w:color w:val="auto"/>
        </w:rPr>
        <w:t>General risks and uncertainties include, but are not limited to, the following: the strength of the United States economy in general and the strength of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customers and key personnel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levels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including impairments or declines caused by changes in the credit ratings of such securities or their issuers; possible impairment charges to goodwill, including any impairment that may result from increased volatility in our stock price; changes in consumer spending, borrowing, and savings habits; the effects of our lack of a diversified loan portfolio, including the risks of geographic, property type and industry concentrations; periodic fluctuations in commercial or residential real estate prices or values; our ability to attract and retain deposits or to access government or private lending facilities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on our credit quality and business operations and employees, as well as the impact on general economic and financial market conditions; cybersecurity and fraud threats and the costs of defending against them, including the costs of compliance with potential legislation to combat money laundering, cybersecurity and fraud threats at a state, national, or global level; our ability to remain in compliance with federal and state laws and regulations involving customer and employee privacy; our ability to recruit and retain key executives, board members and other employees, and changes in employment laws and regulations; unanticipated regulatory or legal investigations and proceedings; and our ability to manage the risks involved in the foregoing.</w:t>
      </w:r>
    </w:p>
    <w:p>
      <w:pPr>
        <w:spacing w:after="0" w:line="200" w:lineRule="exact"/>
        <w:rPr>
          <w:sz w:val="20"/>
          <w:szCs w:val="20"/>
          <w:color w:val="auto"/>
        </w:rPr>
      </w:pPr>
    </w:p>
    <w:p>
      <w:pPr>
        <w:spacing w:after="0" w:line="226" w:lineRule="exact"/>
        <w:rPr>
          <w:sz w:val="20"/>
          <w:szCs w:val="20"/>
          <w:color w:val="auto"/>
        </w:rPr>
      </w:pPr>
    </w:p>
    <w:p>
      <w:pPr>
        <w:jc w:val="both"/>
        <w:ind w:right="80" w:firstLine="588"/>
        <w:spacing w:after="0" w:line="248" w:lineRule="auto"/>
        <w:rPr>
          <w:sz w:val="20"/>
          <w:szCs w:val="20"/>
          <w:color w:val="auto"/>
        </w:rPr>
      </w:pPr>
      <w:r>
        <w:rPr>
          <w:rFonts w:ascii="Times New Roman" w:cs="Times New Roman" w:eastAsia="Times New Roman" w:hAnsi="Times New Roman"/>
          <w:sz w:val="16"/>
          <w:szCs w:val="16"/>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TEM 1.</w:t>
      </w:r>
      <w:r>
        <w:rPr>
          <w:sz w:val="20"/>
          <w:szCs w:val="20"/>
          <w:color w:val="auto"/>
        </w:rPr>
        <w:tab/>
      </w:r>
      <w:r>
        <w:rPr>
          <w:rFonts w:ascii="Times New Roman" w:cs="Times New Roman" w:eastAsia="Times New Roman" w:hAnsi="Times New Roman"/>
          <w:sz w:val="14"/>
          <w:szCs w:val="14"/>
          <w:b w:val="1"/>
          <w:bCs w:val="1"/>
          <w:i w:val="1"/>
          <w:iCs w:val="1"/>
          <w:color w:val="auto"/>
        </w:rPr>
        <w:t>BUSINESS</w:t>
      </w:r>
    </w:p>
    <w:p>
      <w:pPr>
        <w:spacing w:after="0" w:line="1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CVB Financial Corp.</w:t>
      </w:r>
    </w:p>
    <w:p>
      <w:pPr>
        <w:spacing w:after="0" w:line="154" w:lineRule="exact"/>
        <w:rPr>
          <w:sz w:val="20"/>
          <w:szCs w:val="20"/>
          <w:color w:val="auto"/>
        </w:rPr>
      </w:pPr>
    </w:p>
    <w:p>
      <w:pPr>
        <w:ind w:left="80" w:firstLine="600"/>
        <w:spacing w:after="0" w:line="241" w:lineRule="auto"/>
        <w:rPr>
          <w:sz w:val="20"/>
          <w:szCs w:val="20"/>
          <w:color w:val="auto"/>
        </w:rPr>
      </w:pPr>
      <w:r>
        <w:rPr>
          <w:rFonts w:ascii="Times New Roman" w:cs="Times New Roman" w:eastAsia="Times New Roman" w:hAnsi="Times New Roman"/>
          <w:sz w:val="16"/>
          <w:szCs w:val="16"/>
          <w:color w:val="auto"/>
        </w:rPr>
        <w:t>CVB Financial Corp. (referred to herein on an unconsolidated basis as “CVB” and on a consolidated basis as “we”, “our” or the “Company”) is a bank holding company incorporated in California on April 27, 1981 and registered with the Board of Governors of the Federal Reserve System (“Federal Reserve”) under the Bank Holding Company Act of 1956, as amended (the “BHCA”). The Company commenced business on December 30, 1981 when, pursuant to a reorganization, it acquired all of the voting stock of Chino Valley Bank. On March 29, 1996, Chino Valley Bank changed its name to Citizens Business Bank (“CBB” or the “Bank”). The Bank is our principal asset. The Company has one inactive subsidiary, Chino Valley Bancorp.</w:t>
      </w:r>
    </w:p>
    <w:p>
      <w:pPr>
        <w:spacing w:after="0" w:line="133" w:lineRule="exact"/>
        <w:rPr>
          <w:sz w:val="20"/>
          <w:szCs w:val="20"/>
          <w:color w:val="auto"/>
        </w:rPr>
      </w:pPr>
    </w:p>
    <w:p>
      <w:pPr>
        <w:ind w:left="80" w:right="40" w:firstLine="600"/>
        <w:spacing w:after="0" w:line="239" w:lineRule="auto"/>
        <w:rPr>
          <w:sz w:val="20"/>
          <w:szCs w:val="20"/>
          <w:color w:val="auto"/>
        </w:rPr>
      </w:pPr>
      <w:r>
        <w:rPr>
          <w:rFonts w:ascii="Times New Roman" w:cs="Times New Roman" w:eastAsia="Times New Roman" w:hAnsi="Times New Roman"/>
          <w:sz w:val="16"/>
          <w:szCs w:val="16"/>
          <w:color w:val="auto"/>
        </w:rPr>
        <w:t xml:space="preserve">CVB’s principal business is to serve as a holding company for the Bank and for other banking or banking related subsidiaries, which the Company may establish or acquire. CVB has not engaged in any other material activities to date. As a legal entity separate and distinct from its subsidiaries, CVB’s principal source of funds is, and will continue to be, dividends paid by and other funds advanced from the Bank and capital raised directly by CVB. Legal limitations are imposed on the amount of dividends that may be paid and loans that may be made by the Bank to CVB. See “Item 1. </w:t>
      </w:r>
      <w:r>
        <w:rPr>
          <w:rFonts w:ascii="Times New Roman" w:cs="Times New Roman" w:eastAsia="Times New Roman" w:hAnsi="Times New Roman"/>
          <w:sz w:val="16"/>
          <w:szCs w:val="16"/>
          <w:i w:val="1"/>
          <w:iCs w:val="1"/>
          <w:color w:val="auto"/>
        </w:rPr>
        <w:t>Business — Regulation and Supervision — Dividends</w:t>
      </w:r>
      <w:r>
        <w:rPr>
          <w:rFonts w:ascii="Times New Roman" w:cs="Times New Roman" w:eastAsia="Times New Roman" w:hAnsi="Times New Roman"/>
          <w:sz w:val="16"/>
          <w:szCs w:val="16"/>
          <w:color w:val="auto"/>
        </w:rPr>
        <w:t>.” As of December 31, 2024, the Company had $15.15 billion in total consolidated assets, $8.46 billion in net loans, $11.95 billion in deposits, and $2.19 billion in shareholders’ equity.</w:t>
      </w:r>
    </w:p>
    <w:p>
      <w:pPr>
        <w:spacing w:after="0" w:line="1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principal executive offices of CVB and the Bank are located at 701 North Haven Avenue, Suite 350, Ontario, California. Our phone number is (909) 980-</w:t>
      </w:r>
    </w:p>
    <w:p>
      <w:pPr>
        <w:spacing w:after="0" w:line="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4030.</w:t>
      </w:r>
    </w:p>
    <w:p>
      <w:pPr>
        <w:spacing w:after="0" w:line="1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Citizens Business Bank</w:t>
      </w:r>
    </w:p>
    <w:p>
      <w:pPr>
        <w:spacing w:after="0" w:line="154" w:lineRule="exact"/>
        <w:rPr>
          <w:sz w:val="20"/>
          <w:szCs w:val="20"/>
          <w:color w:val="auto"/>
        </w:rPr>
      </w:pPr>
    </w:p>
    <w:p>
      <w:pPr>
        <w:ind w:left="80" w:right="160" w:firstLine="588"/>
        <w:spacing w:after="0" w:line="247" w:lineRule="auto"/>
        <w:rPr>
          <w:sz w:val="20"/>
          <w:szCs w:val="20"/>
          <w:color w:val="auto"/>
        </w:rPr>
      </w:pPr>
      <w:r>
        <w:rPr>
          <w:rFonts w:ascii="Times New Roman" w:cs="Times New Roman" w:eastAsia="Times New Roman" w:hAnsi="Times New Roman"/>
          <w:sz w:val="16"/>
          <w:szCs w:val="16"/>
          <w:color w:val="auto"/>
        </w:rPr>
        <w:t>The Bank commenced operations as a California state-chartered bank on August 9, 1974. The Bank’s deposit accounts are insured under the Federal Deposit Insurance Act up to applicable limits. The Bank is not a member of the Federal Reserve System. At December 31, 2024, the Bank had $15.16 billion in assets, $8.46 billion in net loans, $12.00 billion in deposits, and $2.16 billion in total equity.</w:t>
      </w:r>
    </w:p>
    <w:p>
      <w:pPr>
        <w:spacing w:after="0" w:line="128" w:lineRule="exact"/>
        <w:rPr>
          <w:sz w:val="20"/>
          <w:szCs w:val="20"/>
          <w:color w:val="auto"/>
        </w:rPr>
      </w:pPr>
    </w:p>
    <w:p>
      <w:pPr>
        <w:ind w:left="80" w:right="220" w:firstLine="588"/>
        <w:spacing w:after="0" w:line="259" w:lineRule="auto"/>
        <w:rPr>
          <w:sz w:val="20"/>
          <w:szCs w:val="20"/>
          <w:color w:val="auto"/>
        </w:rPr>
      </w:pPr>
      <w:r>
        <w:rPr>
          <w:rFonts w:ascii="Times New Roman" w:cs="Times New Roman" w:eastAsia="Times New Roman" w:hAnsi="Times New Roman"/>
          <w:sz w:val="16"/>
          <w:szCs w:val="16"/>
          <w:color w:val="auto"/>
        </w:rPr>
        <w:t>As of December 31, 2024, the Bank had 62 Banking Centers (“Centers”) located throughout California. We also have three trust offices located in Ontario, Newport Beach, and Pasadena. These offices serve as sales offices for the Bank’s wealth management, trust and investment products.</w:t>
      </w:r>
    </w:p>
    <w:p>
      <w:pPr>
        <w:spacing w:after="0" w:line="119" w:lineRule="exact"/>
        <w:rPr>
          <w:sz w:val="20"/>
          <w:szCs w:val="20"/>
          <w:color w:val="auto"/>
        </w:rPr>
      </w:pPr>
    </w:p>
    <w:p>
      <w:pPr>
        <w:jc w:val="both"/>
        <w:ind w:left="80" w:right="160" w:firstLine="588"/>
        <w:spacing w:after="0" w:line="289" w:lineRule="auto"/>
        <w:rPr>
          <w:sz w:val="20"/>
          <w:szCs w:val="20"/>
          <w:color w:val="auto"/>
        </w:rPr>
      </w:pPr>
      <w:r>
        <w:rPr>
          <w:rFonts w:ascii="Times New Roman" w:cs="Times New Roman" w:eastAsia="Times New Roman" w:hAnsi="Times New Roman"/>
          <w:sz w:val="14"/>
          <w:szCs w:val="14"/>
          <w:color w:val="auto"/>
        </w:rPr>
        <w:t>The Bank's goal is to be the premier financial services company operating throughout the state of California, servicing the comprehensive financial needs of successful small-and medium-sized businesses and their owners. Through our network of Centers, we emphasize personalized service combined with a wide array of banking and trust services for businesses, professionals and individuals located in the service areas of our Centers. Although we focus the marketing of our services to small-and medium-sized businesses, a wide range of banking, investment and trust services are made available to the markets we serve.</w:t>
      </w:r>
    </w:p>
    <w:p>
      <w:pPr>
        <w:spacing w:after="0" w:line="101" w:lineRule="exact"/>
        <w:rPr>
          <w:sz w:val="20"/>
          <w:szCs w:val="20"/>
          <w:color w:val="auto"/>
        </w:rPr>
      </w:pPr>
    </w:p>
    <w:p>
      <w:pPr>
        <w:ind w:left="80" w:right="380" w:firstLine="588"/>
        <w:spacing w:after="0" w:line="247" w:lineRule="auto"/>
        <w:rPr>
          <w:sz w:val="20"/>
          <w:szCs w:val="20"/>
          <w:color w:val="auto"/>
        </w:rPr>
      </w:pPr>
      <w:r>
        <w:rPr>
          <w:rFonts w:ascii="Times New Roman" w:cs="Times New Roman" w:eastAsia="Times New Roman" w:hAnsi="Times New Roman"/>
          <w:sz w:val="16"/>
          <w:szCs w:val="16"/>
          <w:color w:val="auto"/>
        </w:rPr>
        <w:t>We offer a wide range of bank deposit instruments. These include checking, savings, money market and time certificates of deposit for both business and personal accounts, municipalities and districts, and specialized deposit products for title and escrow. We also serve as a federal tax depository for our business customers.</w:t>
      </w:r>
    </w:p>
    <w:p>
      <w:pPr>
        <w:spacing w:after="0" w:line="128" w:lineRule="exact"/>
        <w:rPr>
          <w:sz w:val="20"/>
          <w:szCs w:val="20"/>
          <w:color w:val="auto"/>
        </w:rPr>
      </w:pPr>
    </w:p>
    <w:p>
      <w:pPr>
        <w:ind w:left="80" w:right="220" w:firstLine="588"/>
        <w:spacing w:after="0" w:line="239" w:lineRule="auto"/>
        <w:rPr>
          <w:sz w:val="20"/>
          <w:szCs w:val="20"/>
          <w:color w:val="auto"/>
        </w:rPr>
      </w:pPr>
      <w:r>
        <w:rPr>
          <w:rFonts w:ascii="Times New Roman" w:cs="Times New Roman" w:eastAsia="Times New Roman" w:hAnsi="Times New Roman"/>
          <w:sz w:val="16"/>
          <w:szCs w:val="16"/>
          <w:color w:val="auto"/>
        </w:rPr>
        <w:t>We provide a full complement of lending products, including commercial, agribusiness, consumer, SBA, real estate, and construction loans, as well as equipment and vehicle leasing. Commercial products include lines of credit and other working capital financing, accounts receivable lending and letters of credit. Agribusiness products are loans to finance the operating needs of wholesale dairy farm operations, cattle feeders, livestock raisers, and farmers. We provide bank qualified lease financing for municipal governments. Commercial real estate and construction loans are secured by a range of property types and include both owner-occupied and investor owned properties. We also offer borrowers the ability to enter into interest rate swaps. Financing products for consumers include automobile leasing and financing, lines of credit, credit cards, home mortgages, and home equity loans and lines of credit.</w:t>
      </w:r>
    </w:p>
    <w:p>
      <w:pPr>
        <w:spacing w:after="0" w:line="137" w:lineRule="exact"/>
        <w:rPr>
          <w:sz w:val="20"/>
          <w:szCs w:val="20"/>
          <w:color w:val="auto"/>
        </w:rPr>
      </w:pPr>
    </w:p>
    <w:p>
      <w:pPr>
        <w:ind w:left="80" w:right="120" w:firstLine="588"/>
        <w:spacing w:after="0" w:line="243" w:lineRule="auto"/>
        <w:rPr>
          <w:sz w:val="20"/>
          <w:szCs w:val="20"/>
          <w:color w:val="auto"/>
        </w:rPr>
      </w:pPr>
      <w:r>
        <w:rPr>
          <w:rFonts w:ascii="Times New Roman" w:cs="Times New Roman" w:eastAsia="Times New Roman" w:hAnsi="Times New Roman"/>
          <w:sz w:val="16"/>
          <w:szCs w:val="16"/>
          <w:color w:val="auto"/>
        </w:rPr>
        <w:t>We also offer a wide range of specialized services designed for the needs of our commercial customers. These services include treasury management systems for monitoring and managing cash flow, a merchant card processing program, armored pick-up and delivery, payroll services, remote deposit capture, electronic funds transfers, domestic and international wires and automated clearinghouse, on-line account access, and international business activities including foreign exchange and letters of credit for international trade. We make available investment products offered by other providers to our</w:t>
      </w:r>
    </w:p>
    <w:p>
      <w:pPr>
        <w:spacing w:after="0" w:line="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1419" w:right="700" w:bottom="1440" w:gutter="0" w:footer="0" w:header="0"/>
        </w:sectPr>
      </w:pPr>
    </w:p>
    <w:bookmarkStart w:id="4" w:name="page5"/>
    <w:bookmarkEnd w:id="4"/>
    <w:p>
      <w:pPr>
        <w:spacing w:after="0" w:line="13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customers, including mutual funds, a full array of fixed income vehicles and a program to diversify our customers’ funds in federally insured time certificates of deposit of other institutions.</w:t>
      </w:r>
    </w:p>
    <w:p>
      <w:pPr>
        <w:spacing w:after="0" w:line="119" w:lineRule="exact"/>
        <w:rPr>
          <w:sz w:val="20"/>
          <w:szCs w:val="20"/>
          <w:color w:val="auto"/>
        </w:rPr>
      </w:pPr>
    </w:p>
    <w:p>
      <w:pPr>
        <w:ind w:right="60" w:firstLine="588"/>
        <w:spacing w:after="0" w:line="259" w:lineRule="auto"/>
        <w:rPr>
          <w:sz w:val="20"/>
          <w:szCs w:val="20"/>
          <w:color w:val="auto"/>
        </w:rPr>
      </w:pPr>
      <w:r>
        <w:rPr>
          <w:rFonts w:ascii="Times New Roman" w:cs="Times New Roman" w:eastAsia="Times New Roman" w:hAnsi="Times New Roman"/>
          <w:sz w:val="16"/>
          <w:szCs w:val="16"/>
          <w:color w:val="auto"/>
        </w:rPr>
        <w:t>In addition, we offer a wide range of financial services and trust services through our CitizensTrust division. These services include fiduciary services, mutual funds, annuities, 401(k) plans and individual investment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Segments</w:t>
      </w:r>
    </w:p>
    <w:p>
      <w:pPr>
        <w:spacing w:after="0" w:line="152" w:lineRule="exact"/>
        <w:rPr>
          <w:sz w:val="20"/>
          <w:szCs w:val="20"/>
          <w:color w:val="auto"/>
        </w:rPr>
      </w:pPr>
    </w:p>
    <w:p>
      <w:pPr>
        <w:ind w:right="280" w:firstLine="588"/>
        <w:spacing w:after="0" w:line="262" w:lineRule="auto"/>
        <w:rPr>
          <w:sz w:val="20"/>
          <w:szCs w:val="20"/>
          <w:color w:val="auto"/>
        </w:rPr>
      </w:pPr>
      <w:r>
        <w:rPr>
          <w:rFonts w:ascii="Times New Roman" w:cs="Times New Roman" w:eastAsia="Times New Roman" w:hAnsi="Times New Roman"/>
          <w:sz w:val="16"/>
          <w:szCs w:val="16"/>
          <w:color w:val="auto"/>
        </w:rPr>
        <w:t xml:space="preserve">We are a community bank with one reportable operating segment. See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Business Segments</w:t>
      </w:r>
      <w:r>
        <w:rPr>
          <w:rFonts w:ascii="Times New Roman" w:cs="Times New Roman" w:eastAsia="Times New Roman" w:hAnsi="Times New Roman"/>
          <w:sz w:val="16"/>
          <w:szCs w:val="16"/>
          <w:color w:val="auto"/>
        </w:rPr>
        <w:t xml:space="preserve"> of the notes to the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154"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We employed 1,089 associates as of December 31, 2024. This was a 1.6% decrease from 1,107 associates at December 31, 2023. Our Code of Personal and Business Conduct and Ethics (“Code”) addresses both business and social relationships that may present legal and ethical concerns and also sets forth a code of conduct to guide the members of the Board of Directors and associates. Our associates acknowledge annually they have read and understood their responsibility to conduct business in accordance with the highest ethical standards in order to merit and maintain the confidence and trust of our customers and the public in general.</w:t>
      </w:r>
    </w:p>
    <w:p>
      <w:pPr>
        <w:spacing w:after="0" w:line="131" w:lineRule="exact"/>
        <w:rPr>
          <w:sz w:val="20"/>
          <w:szCs w:val="20"/>
          <w:color w:val="auto"/>
        </w:rPr>
      </w:pPr>
    </w:p>
    <w:p>
      <w:pPr>
        <w:ind w:right="420" w:firstLine="588"/>
        <w:spacing w:after="0" w:line="259" w:lineRule="auto"/>
        <w:rPr>
          <w:sz w:val="20"/>
          <w:szCs w:val="20"/>
          <w:color w:val="auto"/>
        </w:rPr>
      </w:pPr>
      <w:r>
        <w:rPr>
          <w:rFonts w:ascii="Times New Roman" w:cs="Times New Roman" w:eastAsia="Times New Roman" w:hAnsi="Times New Roman"/>
          <w:sz w:val="16"/>
          <w:szCs w:val="16"/>
          <w:color w:val="auto"/>
        </w:rPr>
        <w:t>The Company promotes Five Core Values that we believe provides a continuing commitment and direction to our business activities and our underlying culture. These core values are fundamental to the Company’s performance and strategy.</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Five Core Values are:</w:t>
      </w:r>
    </w:p>
    <w:p>
      <w:pPr>
        <w:spacing w:after="0" w:line="152" w:lineRule="exact"/>
        <w:rPr>
          <w:sz w:val="20"/>
          <w:szCs w:val="20"/>
          <w:color w:val="auto"/>
        </w:rPr>
      </w:pPr>
    </w:p>
    <w:p>
      <w:pPr>
        <w:ind w:left="1000" w:hanging="166"/>
        <w:spacing w:after="0"/>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Strength;</w:t>
      </w:r>
    </w:p>
    <w:p>
      <w:pPr>
        <w:spacing w:after="0" w:line="14" w:lineRule="exact"/>
        <w:rPr>
          <w:rFonts w:ascii="Times New Roman" w:cs="Times New Roman" w:eastAsia="Times New Roman" w:hAnsi="Times New Roman"/>
          <w:sz w:val="16"/>
          <w:szCs w:val="16"/>
          <w:color w:val="auto"/>
        </w:rPr>
      </w:pPr>
    </w:p>
    <w:p>
      <w:pPr>
        <w:ind w:left="1000" w:hanging="166"/>
        <w:spacing w:after="0" w:line="234" w:lineRule="auto"/>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Superior People;</w:t>
      </w:r>
    </w:p>
    <w:p>
      <w:pPr>
        <w:ind w:left="1000" w:hanging="166"/>
        <w:spacing w:after="0" w:line="234" w:lineRule="auto"/>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Focus;</w:t>
      </w:r>
    </w:p>
    <w:p>
      <w:pPr>
        <w:ind w:left="1000" w:hanging="166"/>
        <w:spacing w:after="0" w:line="234" w:lineRule="auto"/>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Cost-Effective Operation; and</w:t>
      </w:r>
    </w:p>
    <w:p>
      <w:pPr>
        <w:ind w:left="1000" w:hanging="166"/>
        <w:spacing w:after="0"/>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Having Fun.</w:t>
      </w:r>
    </w:p>
    <w:p>
      <w:pPr>
        <w:spacing w:after="0" w:line="134" w:lineRule="exact"/>
        <w:rPr>
          <w:sz w:val="20"/>
          <w:szCs w:val="20"/>
          <w:color w:val="auto"/>
        </w:rPr>
      </w:pPr>
    </w:p>
    <w:p>
      <w:pPr>
        <w:ind w:firstLine="588"/>
        <w:spacing w:after="0" w:line="243" w:lineRule="auto"/>
        <w:rPr>
          <w:sz w:val="20"/>
          <w:szCs w:val="20"/>
          <w:color w:val="auto"/>
        </w:rPr>
      </w:pPr>
      <w:r>
        <w:rPr>
          <w:rFonts w:ascii="Times New Roman" w:cs="Times New Roman" w:eastAsia="Times New Roman" w:hAnsi="Times New Roman"/>
          <w:sz w:val="16"/>
          <w:szCs w:val="16"/>
          <w:color w:val="auto"/>
        </w:rPr>
        <w:t>The Company’s Citizens Experience Service Awards and Recognition Program resulted in 983 nominations of associates who were recognized for exemplifying our Five Core Values in 2024, representing a 39% increase over 2023. Of those nominations, 143 received service awards. In addition, the Company has a long held tradition of an annual awards program that recognizes outstanding job performance. Our 2024 annual awards ceremony recognized 40 associates, who stood out for their commitment to our high standards of performance.</w:t>
      </w:r>
    </w:p>
    <w:p>
      <w:pPr>
        <w:spacing w:after="0" w:line="131" w:lineRule="exact"/>
        <w:rPr>
          <w:sz w:val="20"/>
          <w:szCs w:val="20"/>
          <w:color w:val="auto"/>
        </w:rPr>
      </w:pPr>
    </w:p>
    <w:p>
      <w:pPr>
        <w:ind w:right="120" w:firstLine="600"/>
        <w:spacing w:after="0" w:line="241" w:lineRule="auto"/>
        <w:rPr>
          <w:sz w:val="20"/>
          <w:szCs w:val="20"/>
          <w:color w:val="auto"/>
        </w:rPr>
      </w:pPr>
      <w:r>
        <w:rPr>
          <w:rFonts w:ascii="Times New Roman" w:cs="Times New Roman" w:eastAsia="Times New Roman" w:hAnsi="Times New Roman"/>
          <w:sz w:val="16"/>
          <w:szCs w:val="16"/>
          <w:color w:val="auto"/>
        </w:rPr>
        <w:t>The Company is committed to supporting the physical and financial wellness of our associates and their families. We offer a comprehensive set of health insurance and retirement benefits, as well as wellness programs and resources. As of December 2024, 68% of our associates were enrolled in our medical insurance plans and 78% of our associates participated in at least one wellness activity during 2024. In addition, the Company makes an annual 401(k) retirement contribution to all eligible associates, which includes a profit sharing component. In 2024, the combined Company 401(k) contribution was 5% of associate’s eligible salary. 92% of our associates made individual participant contributions to the 401(k) plan during 2024.</w:t>
      </w:r>
    </w:p>
    <w:p>
      <w:pPr>
        <w:spacing w:after="0" w:line="133" w:lineRule="exact"/>
        <w:rPr>
          <w:sz w:val="20"/>
          <w:szCs w:val="20"/>
          <w:color w:val="auto"/>
        </w:rPr>
      </w:pPr>
    </w:p>
    <w:p>
      <w:pPr>
        <w:jc w:val="both"/>
        <w:ind w:right="80" w:firstLine="588"/>
        <w:spacing w:after="0" w:line="241" w:lineRule="auto"/>
        <w:rPr>
          <w:sz w:val="20"/>
          <w:szCs w:val="20"/>
          <w:color w:val="auto"/>
        </w:rPr>
      </w:pPr>
      <w:r>
        <w:rPr>
          <w:rFonts w:ascii="Times New Roman" w:cs="Times New Roman" w:eastAsia="Times New Roman" w:hAnsi="Times New Roman"/>
          <w:sz w:val="16"/>
          <w:szCs w:val="16"/>
          <w:color w:val="auto"/>
        </w:rPr>
        <w:t>Recruiting, training and development, and retention of key associates is vital to the Company’s strategy and success. The Company promotes leadership and associate development through various programs, including succession planning, top talent program, and leadership essentials training. At December 31, 2024, we had 138 positions within the Company designated as “leadership” positions. This represents approximately 13% of our total associates. The average tenure at the Company among our leadership group at the end of 2024 was greater than 10 years. In 2024, turnover among our leadership group was 5.8% and during the year we promoted 3 associates and hired 4 new associates into our leadership group.</w:t>
      </w:r>
    </w:p>
    <w:p>
      <w:pPr>
        <w:spacing w:after="0" w:line="73"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The Company’s Development and Engagement Program is designed to invest in the professional development of our associates and increase workplace engagement. We strive to reward talent, with a commitment to equal opportunity. Oversight is provided by the Company’s Engagement Committee, which is guided by our Five Core Values and various policies that support a framework which we use to create and strengthen our associate engagement and the Company's overall diversity, including our organizational commitment to associate engagement and well-being, as well as sound procurement and business practices. The Engagement Committee is co-chaired by our Chief Operating Officer and Human Resources Director and includes our Chief Financial Officer, Chief Risk Officer, and General Counsel. The Company's Engagement Council was established to continue our commitment to associate engagement, as well as fostering, cultivating, and preserving a culture of diversity and inclusion. The Council is led by our Director of Human Resources and the Associate</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 w:name="page6"/>
    <w:bookmarkEnd w:id="5"/>
    <w:p>
      <w:pPr>
        <w:spacing w:after="0" w:line="77" w:lineRule="exact"/>
        <w:rPr>
          <w:sz w:val="20"/>
          <w:szCs w:val="20"/>
          <w:color w:val="auto"/>
        </w:rPr>
      </w:pPr>
    </w:p>
    <w:p>
      <w:pPr>
        <w:jc w:val="both"/>
        <w:ind w:right="440"/>
        <w:spacing w:after="0" w:line="243" w:lineRule="auto"/>
        <w:rPr>
          <w:sz w:val="20"/>
          <w:szCs w:val="20"/>
          <w:color w:val="auto"/>
        </w:rPr>
      </w:pPr>
      <w:r>
        <w:rPr>
          <w:rFonts w:ascii="Times New Roman" w:cs="Times New Roman" w:eastAsia="Times New Roman" w:hAnsi="Times New Roman"/>
          <w:sz w:val="16"/>
          <w:szCs w:val="16"/>
          <w:color w:val="auto"/>
        </w:rPr>
        <w:t>Engagement Manager, as well as an additional member of our Senior Leadership team. Members of the Council represent a cross section of our associates across numerous departments. The Council discusses ways to promote engagement among associates and serve as ambassadors when it comes to implementing our Core Values. We monitor diversity throughout our organization, including the percentage of our total associates who are female and racially or ethnically diverse. The following represents the Company’s diversity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228600</wp:posOffset>
            </wp:positionV>
            <wp:extent cx="4801870" cy="1936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01870" cy="193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 addition, 38% of our Board of Directors are female or ethnically diverse.</w:t>
      </w:r>
    </w:p>
    <w:p>
      <w:pPr>
        <w:spacing w:after="0" w:line="152" w:lineRule="exact"/>
        <w:rPr>
          <w:sz w:val="20"/>
          <w:szCs w:val="20"/>
          <w:color w:val="auto"/>
        </w:rPr>
      </w:pPr>
    </w:p>
    <w:p>
      <w:pPr>
        <w:ind w:firstLine="600"/>
        <w:spacing w:after="0" w:line="280" w:lineRule="auto"/>
        <w:rPr>
          <w:sz w:val="20"/>
          <w:szCs w:val="20"/>
          <w:color w:val="auto"/>
        </w:rPr>
      </w:pPr>
      <w:r>
        <w:rPr>
          <w:rFonts w:ascii="Times New Roman" w:cs="Times New Roman" w:eastAsia="Times New Roman" w:hAnsi="Times New Roman"/>
          <w:sz w:val="14"/>
          <w:szCs w:val="14"/>
          <w:color w:val="auto"/>
        </w:rPr>
        <w:t>The Board of Directors oversees executive compensation, as well as the Company’s compensation and benefit plans, through the Board’s Compensation Committee. The Management Compensation Compliance Committee, under the direction of the Compensation Committee, identifies, assesses, and manages exposure to and compliance with applicable compensation laws, regulations, and other related issues. In general, the Management Compensation Compliance Committee is responsible for ensuring that the Company has designed and implemented risk management processes that (1) evaluate the nature of inherent risks in compensation programs; (2) are consistent with the Company’s strategic plan; and (3) foster a culture of risk-awareness and risk-adjusted decision making throughout the Company. All of our associates are eligible for incentive compensation awards. In 2024, 92% of our associates earned an incentive bonus, which compares to 93% in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54" w:lineRule="exact"/>
        <w:rPr>
          <w:sz w:val="20"/>
          <w:szCs w:val="20"/>
          <w:color w:val="auto"/>
        </w:rPr>
      </w:pPr>
    </w:p>
    <w:p>
      <w:pPr>
        <w:ind w:right="140" w:firstLine="588"/>
        <w:spacing w:after="0" w:line="239" w:lineRule="auto"/>
        <w:rPr>
          <w:sz w:val="20"/>
          <w:szCs w:val="20"/>
          <w:color w:val="auto"/>
        </w:rPr>
      </w:pPr>
      <w:r>
        <w:rPr>
          <w:rFonts w:ascii="Times New Roman" w:cs="Times New Roman" w:eastAsia="Times New Roman" w:hAnsi="Times New Roman"/>
          <w:sz w:val="16"/>
          <w:szCs w:val="16"/>
          <w:color w:val="auto"/>
        </w:rPr>
        <w:t>The banking and financial services business is highly competitive. The competitive environment faced by banks is a result primarily of changes in laws and regulations, changes in technology and product delivery systems, and the ongoing consolidation among insured financial institutions. We compete for loans, deposits, and customers with other commercial banks, savings and loan associations, savings banks, securities and brokerage companies, mortgage companies, insurance companies, finance companies, money market funds, credit unions, and other nonbank financial service providers, including online banks and “peer -to -peer” or “marketplace” payment processors, FinTech companies, lenders and other small business and consumer lenders. Many competitors are much larger in total assets and capitalization, have greater access to capital markets and/or offer a broader range of financial products and services. Additionally, some smaller competitors, including non-bank entities, may be more nimble and responsive to customer preferences or requirements.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Conditions/Government Policies</w:t>
      </w:r>
    </w:p>
    <w:p>
      <w:pPr>
        <w:spacing w:after="0" w:line="154" w:lineRule="exact"/>
        <w:rPr>
          <w:sz w:val="20"/>
          <w:szCs w:val="20"/>
          <w:color w:val="auto"/>
        </w:rPr>
      </w:pPr>
    </w:p>
    <w:p>
      <w:pPr>
        <w:ind w:right="40" w:firstLine="588"/>
        <w:spacing w:after="0" w:line="241" w:lineRule="auto"/>
        <w:rPr>
          <w:sz w:val="20"/>
          <w:szCs w:val="20"/>
          <w:color w:val="auto"/>
        </w:rPr>
      </w:pPr>
      <w:r>
        <w:rPr>
          <w:rFonts w:ascii="Times New Roman" w:cs="Times New Roman" w:eastAsia="Times New Roman" w:hAnsi="Times New Roman"/>
          <w:sz w:val="16"/>
          <w:szCs w:val="16"/>
          <w:color w:val="auto"/>
        </w:rPr>
        <w:t>Our profitability, like most financial institutions, is primarily dependent on interest rate spreads and noninterest income. In general, the difference between the interest rates paid by the Bank on interest-bearing liabilities, such as deposits and borrowings, and the interest rates received by the Bank on interest-earning assets, such as loans extended to customers and securities held in the investment portfolio, will comprise the major portion of our earnings. These rates are highly sensitive to many factors that are beyond our control, such as inflation, recession and unemployment, government fiscal and monetary and other policies, and the impact which future changes in domestic and foreign economic conditions might have on us cannot be predicted.</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 w:name="page7"/>
    <w:bookmarkEnd w:id="6"/>
    <w:p>
      <w:pPr>
        <w:spacing w:after="0" w:line="137" w:lineRule="exact"/>
        <w:rPr>
          <w:sz w:val="20"/>
          <w:szCs w:val="20"/>
          <w:color w:val="auto"/>
        </w:rPr>
      </w:pPr>
    </w:p>
    <w:p>
      <w:pPr>
        <w:ind w:right="40" w:firstLine="588"/>
        <w:spacing w:after="0" w:line="247" w:lineRule="auto"/>
        <w:rPr>
          <w:sz w:val="20"/>
          <w:szCs w:val="20"/>
          <w:color w:val="auto"/>
        </w:rPr>
      </w:pPr>
      <w:r>
        <w:rPr>
          <w:rFonts w:ascii="Times New Roman" w:cs="Times New Roman" w:eastAsia="Times New Roman" w:hAnsi="Times New Roman"/>
          <w:sz w:val="16"/>
          <w:szCs w:val="16"/>
          <w:color w:val="auto"/>
        </w:rPr>
        <w:t>Opportunity for banks to earn fees and other noninterest income have also been limited by restrictions imposed by the Dodd- Frank Wall Street Reform and Consumer Protection Act (“Dodd-Frank”) and other government regulations. As the following sections indicate, the impact of current and future changes in government laws and regulations on our ability to maintain current levels of fees and other noninterest income could be material and cannot be predicted.</w:t>
      </w:r>
    </w:p>
    <w:p>
      <w:pPr>
        <w:spacing w:after="0" w:line="128" w:lineRule="exact"/>
        <w:rPr>
          <w:sz w:val="20"/>
          <w:szCs w:val="20"/>
          <w:color w:val="auto"/>
        </w:rPr>
      </w:pPr>
    </w:p>
    <w:p>
      <w:pPr>
        <w:ind w:right="60" w:firstLine="588"/>
        <w:spacing w:after="0" w:line="238" w:lineRule="auto"/>
        <w:rPr>
          <w:sz w:val="20"/>
          <w:szCs w:val="20"/>
          <w:color w:val="auto"/>
        </w:rPr>
      </w:pPr>
      <w:r>
        <w:rPr>
          <w:rFonts w:ascii="Times New Roman" w:cs="Times New Roman" w:eastAsia="Times New Roman" w:hAnsi="Times New Roman"/>
          <w:sz w:val="16"/>
          <w:szCs w:val="16"/>
          <w:color w:val="auto"/>
        </w:rPr>
        <w:t>Our business is also influenced by the monetary and fiscal policies of the federal government and the policies of regulatory agencies, particularly the Federal Reserve. The Federal Reserve implements national monetary policies (with objectives such as curbing inflation, increasing employment and combating recession) through its open-market operations in U.S. Government securities by buying and selling treasury and mortgage-backed securities, by adjusting the required level of reserves for depository institutions subject to its reserve requirements, and by varying the target federal funds and discount rates applicable to borrowings by depository institutions. The actions of the Federal Reserve in these areas influence the growth and performance of bank loans, investments, and deposits and also affect interest earned on interest-earning assets and paid on interest-bearing liabilities. Recent actions by the Federal Reserve have impacted deposits due to expansion and contraction of the money supply. Government fiscal and budgetary policies, including deficit spending, can also have a significant impact on the capital markets and interest rates. The nature and impact of any future changes in monetary and fiscal policies on us cannot be predicted.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and Supervision</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56" w:lineRule="exact"/>
        <w:rPr>
          <w:sz w:val="20"/>
          <w:szCs w:val="20"/>
          <w:color w:val="auto"/>
        </w:rPr>
      </w:pPr>
    </w:p>
    <w:p>
      <w:pPr>
        <w:ind w:right="40" w:firstLine="588"/>
        <w:spacing w:after="0" w:line="280" w:lineRule="auto"/>
        <w:rPr>
          <w:sz w:val="20"/>
          <w:szCs w:val="20"/>
          <w:color w:val="auto"/>
        </w:rPr>
      </w:pPr>
      <w:r>
        <w:rPr>
          <w:rFonts w:ascii="Times New Roman" w:cs="Times New Roman" w:eastAsia="Times New Roman" w:hAnsi="Times New Roman"/>
          <w:sz w:val="14"/>
          <w:szCs w:val="14"/>
          <w:color w:val="auto"/>
        </w:rPr>
        <w:t>The Company and the Bank are subject to significant regulation and restrictions under applicable federal and state laws and by various regulatory agencies. These regulations and restrictions are intended primarily for the protection of depositors and the Federal Deposit Insurance Corporation (“FDIC”) Deposit Insurance Fund (“DIF”) and secondarily for the stability of the U.S. banking system. The following discussion of statutes and regulations is a summary and does not purport to be complete nor does it address all applicable statutes and regulations. This discussion is qualified in its entirety by reference to the statutes and regulations referred to in this discussion. From time to time, federal and state legislation is enacted and implemented by regulations which may have the effect of materially increasing the cost of doing business, limiting or expanding permissible activities, or affecting the competitive balance between banks and other financial services providers.</w:t>
      </w:r>
    </w:p>
    <w:p>
      <w:pPr>
        <w:spacing w:after="0" w:line="109" w:lineRule="exact"/>
        <w:rPr>
          <w:sz w:val="20"/>
          <w:szCs w:val="20"/>
          <w:color w:val="auto"/>
        </w:rPr>
      </w:pPr>
    </w:p>
    <w:p>
      <w:pPr>
        <w:ind w:right="120" w:firstLine="588"/>
        <w:spacing w:after="0" w:line="241" w:lineRule="auto"/>
        <w:rPr>
          <w:sz w:val="20"/>
          <w:szCs w:val="20"/>
          <w:color w:val="auto"/>
        </w:rPr>
      </w:pPr>
      <w:r>
        <w:rPr>
          <w:rFonts w:ascii="Times New Roman" w:cs="Times New Roman" w:eastAsia="Times New Roman" w:hAnsi="Times New Roman"/>
          <w:sz w:val="16"/>
          <w:szCs w:val="16"/>
          <w:color w:val="auto"/>
        </w:rPr>
        <w:t>We cannot predict whether or when other legislation or new regulations may be enacted, and if enacted, the effect that new legislation or any implemented regulations and supervisory policies would have on our financial condition and results of operations. Such developments may further alter the structure, regulation, and competitive relationship among financial institutions, may limit the types or pricing of the products and services we offer, and may subject us to increased regulation, disclosure, and reporting requirements. We also cannot predict whether or when regulatory requirements may be reduced or eliminated and the overall affect such reduction or elimination may have on the Company and the Bank.</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Legislation and Regulatory Developments</w:t>
      </w:r>
    </w:p>
    <w:p>
      <w:pPr>
        <w:spacing w:after="0" w:line="156" w:lineRule="exact"/>
        <w:rPr>
          <w:sz w:val="20"/>
          <w:szCs w:val="20"/>
          <w:color w:val="auto"/>
        </w:rPr>
      </w:pPr>
    </w:p>
    <w:p>
      <w:pPr>
        <w:ind w:right="80" w:firstLine="600"/>
        <w:spacing w:after="0" w:line="241" w:lineRule="auto"/>
        <w:rPr>
          <w:sz w:val="20"/>
          <w:szCs w:val="20"/>
          <w:color w:val="auto"/>
        </w:rPr>
      </w:pPr>
      <w:r>
        <w:rPr>
          <w:rFonts w:ascii="Times New Roman" w:cs="Times New Roman" w:eastAsia="Times New Roman" w:hAnsi="Times New Roman"/>
          <w:sz w:val="16"/>
          <w:szCs w:val="16"/>
          <w:color w:val="auto"/>
        </w:rPr>
        <w:t>The federal banking agencies continue to promulgate regulations and guidelines intended to ensure the financial strength and safety and soundness of banks and the stability of the U.S. banking system. While the federal banking agencies may continue to promulgate regulations and guidelines intended to ensure the financial strength and safety and soundness of banks and the stability of the U.S. banking system, we believe that President Trump will seek to implement a regulatory reform agenda that is different than that of the Biden administration, impacting the rulemaking, supervision, examination and enforcement priorities of the federal banking agencies. The scope of such changes, however, cannot yet be fully determined.</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Capital Adequacy Requirements</w:t>
      </w:r>
    </w:p>
    <w:p>
      <w:pPr>
        <w:spacing w:after="0" w:line="156"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Bank holding companies and banks are subject to similar regulatory capital requirements administered by state and federal banking agencies. The risk-based capital guidelines for bank holding companies, and additionally for banks, require capital ratios that vary based on the perceived degree of risk associated with a banking organization’s operations, both for transactions reported on the balance sheet as assets, such as loans, and for those recorded as off-balance sheet items, such as loan commitments, letters of credit and recourse arrangements. The risk-based capital ratio is determined by classifying assets and certain off-balance sheet financial instruments into weighted categories, with higher levels of capital being required for those categories perceived as representing greater risks, and with the applicable ratios calculated by dividing qualifying capital by total risk -adjusted assets and off-balance sheet items. Capital amounts and classifications are also subject to qualitative judgments by regulators about components, risk weighting and other factors. Bank holding companies and banks engaged in significant trading activity may also be subject to the market risk capital guidelines and be required to incorporate additional market and interest rate risk components into their risk-based capital standards. Bank holding</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 w:name="page8"/>
    <w:bookmarkEnd w:id="7"/>
    <w:p>
      <w:pPr>
        <w:spacing w:after="0" w:line="13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companies are also required to act as a source of financial strength to their subsidiary banks. Under this policy, the Company must commit resources to support the Bank even when the Company may not be in a financial position to provide it.</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Regulatory Capital and Risk-weighted Assets</w:t>
      </w:r>
    </w:p>
    <w:p>
      <w:pPr>
        <w:spacing w:after="0" w:line="154" w:lineRule="exact"/>
        <w:rPr>
          <w:sz w:val="20"/>
          <w:szCs w:val="20"/>
          <w:color w:val="auto"/>
        </w:rPr>
      </w:pPr>
    </w:p>
    <w:p>
      <w:pPr>
        <w:ind w:right="80" w:firstLine="588"/>
        <w:spacing w:after="0" w:line="241" w:lineRule="auto"/>
        <w:rPr>
          <w:sz w:val="20"/>
          <w:szCs w:val="20"/>
          <w:color w:val="auto"/>
        </w:rPr>
      </w:pPr>
      <w:r>
        <w:rPr>
          <w:rFonts w:ascii="Times New Roman" w:cs="Times New Roman" w:eastAsia="Times New Roman" w:hAnsi="Times New Roman"/>
          <w:sz w:val="16"/>
          <w:szCs w:val="16"/>
          <w:color w:val="auto"/>
        </w:rPr>
        <w:t>The Federal Reserve monitors our capital adequacy on a consolidated basis, and the FDIC and the California Department of Financial Protection and Innovation (“DFPI”) monitor the capital adequacy of our Bank. These rules implement the Basel III international regulatory capital standards in the United States, as well as certain provisions of the Dodd-Frank Act. These quantitative calculations are minimums, and the Federal Reserve, FDIC or DFPI may determine that a banking organization (like the Company or the Bank), based on its size, complexity or risk profile, must maintain a higher level of capital in order to operate in a safe and sound manner.</w:t>
      </w:r>
    </w:p>
    <w:p>
      <w:pPr>
        <w:spacing w:after="0" w:line="133" w:lineRule="exact"/>
        <w:rPr>
          <w:sz w:val="20"/>
          <w:szCs w:val="20"/>
          <w:color w:val="auto"/>
        </w:rPr>
      </w:pPr>
    </w:p>
    <w:p>
      <w:pPr>
        <w:ind w:right="200" w:firstLine="588"/>
        <w:spacing w:after="0" w:line="331" w:lineRule="auto"/>
        <w:rPr>
          <w:sz w:val="20"/>
          <w:szCs w:val="20"/>
          <w:color w:val="auto"/>
        </w:rPr>
      </w:pPr>
      <w:r>
        <w:rPr>
          <w:rFonts w:ascii="Times New Roman" w:cs="Times New Roman" w:eastAsia="Times New Roman" w:hAnsi="Times New Roman"/>
          <w:sz w:val="14"/>
          <w:szCs w:val="14"/>
          <w:color w:val="auto"/>
        </w:rPr>
        <w:t>Under the Basel III Capital Rules, the Company’s and the Bank’s assets, exposures and certain off-balance sheet items are subject to risk weights used to determine the institutions’ risk-weighted assets. These risk-weighted assets are used to calculate the following minimum capital ratios for the Company and the Bank:</w:t>
      </w:r>
    </w:p>
    <w:p>
      <w:pPr>
        <w:spacing w:after="0" w:line="70" w:lineRule="exact"/>
        <w:rPr>
          <w:sz w:val="20"/>
          <w:szCs w:val="20"/>
          <w:color w:val="auto"/>
        </w:rPr>
      </w:pPr>
    </w:p>
    <w:p>
      <w:pPr>
        <w:ind w:left="720" w:right="400"/>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Tier 1 Leverage Ratio</w:t>
      </w:r>
      <w:r>
        <w:rPr>
          <w:rFonts w:ascii="Times New Roman" w:cs="Times New Roman" w:eastAsia="Times New Roman" w:hAnsi="Times New Roman"/>
          <w:sz w:val="16"/>
          <w:szCs w:val="16"/>
          <w:color w:val="auto"/>
        </w:rPr>
        <w:t>, equal to the ratio of Tier 1 capital to quarterly average assets (net of goodwill, certain other intangible assets and certain other deductions).</w:t>
      </w:r>
    </w:p>
    <w:p>
      <w:pPr>
        <w:spacing w:after="0" w:line="1" w:lineRule="exact"/>
        <w:rPr>
          <w:sz w:val="20"/>
          <w:szCs w:val="20"/>
          <w:color w:val="auto"/>
        </w:rPr>
      </w:pPr>
    </w:p>
    <w:p>
      <w:pPr>
        <w:ind w:left="720" w:right="40"/>
        <w:spacing w:after="0" w:line="2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CET1 Risk-Based Capital Ratio,</w:t>
      </w:r>
      <w:r>
        <w:rPr>
          <w:rFonts w:ascii="Times New Roman" w:cs="Times New Roman" w:eastAsia="Times New Roman" w:hAnsi="Times New Roman"/>
          <w:sz w:val="16"/>
          <w:szCs w:val="16"/>
          <w:color w:val="auto"/>
        </w:rPr>
        <w:t xml:space="preserve"> equal to the ratio of CET1 capital to risk-weighted assets. CET1 capital primarily includes common stockholders’ equity subject to certain regulatory adjustments and deductions, including with respect to goodwill, intangible assets and certain deferred tax assets. Because we are not an advanced approach banking organization, we were permitted to make a one-time permanent election to exclude accumulated other comprehensive income items from regulatory capital. We made this election in order to avoid significant variations in our levels of capital depending upon the impact of interest rate fluctuations on the fair value of our Bank’s available-for-sale securities portfolio.</w:t>
      </w:r>
    </w:p>
    <w:p>
      <w:pPr>
        <w:spacing w:after="0" w:line="3" w:lineRule="exact"/>
        <w:rPr>
          <w:sz w:val="20"/>
          <w:szCs w:val="20"/>
          <w:color w:val="auto"/>
        </w:rPr>
      </w:pPr>
    </w:p>
    <w:p>
      <w:pPr>
        <w:ind w:left="720" w:right="600"/>
        <w:spacing w:after="0" w:line="2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Tier 1 Risk-Based Capital Ratio,</w:t>
      </w:r>
      <w:r>
        <w:rPr>
          <w:rFonts w:ascii="Times New Roman" w:cs="Times New Roman" w:eastAsia="Times New Roman" w:hAnsi="Times New Roman"/>
          <w:sz w:val="16"/>
          <w:szCs w:val="16"/>
          <w:color w:val="auto"/>
        </w:rPr>
        <w:t xml:space="preserve"> equal to the ratio of Tier 1 capital to risk-weighted assets. Tier 1 capital is primarily comprised of CET1 capital, perpetual preferred stock and certain qualifying capital instruments.</w:t>
      </w:r>
    </w:p>
    <w:p>
      <w:pPr>
        <w:spacing w:after="0" w:line="1" w:lineRule="exact"/>
        <w:rPr>
          <w:sz w:val="20"/>
          <w:szCs w:val="20"/>
          <w:color w:val="auto"/>
        </w:rPr>
      </w:pPr>
    </w:p>
    <w:p>
      <w:pPr>
        <w:ind w:left="720" w:right="100"/>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Total Risk-Based Capital Ratio,</w:t>
      </w:r>
      <w:r>
        <w:rPr>
          <w:rFonts w:ascii="Times New Roman" w:cs="Times New Roman" w:eastAsia="Times New Roman" w:hAnsi="Times New Roman"/>
          <w:sz w:val="16"/>
          <w:szCs w:val="16"/>
          <w:color w:val="auto"/>
        </w:rPr>
        <w:t xml:space="preserve"> equal to the ratio of total capital, including CET1 capital, Tier 1 capital and Tier 2 capital, to risk-weighted assets. Tier 2 capital primarily includes qualifying subordinated debt and qualifying allowance for credit losses. Tier 2 capital also includes, among other things, certain trust preferred securities.</w:t>
      </w:r>
    </w:p>
    <w:p>
      <w:pPr>
        <w:spacing w:after="0" w:line="169" w:lineRule="exact"/>
        <w:rPr>
          <w:sz w:val="20"/>
          <w:szCs w:val="20"/>
          <w:color w:val="auto"/>
        </w:rPr>
      </w:pPr>
    </w:p>
    <w:p>
      <w:pPr>
        <w:ind w:right="200" w:firstLine="588"/>
        <w:spacing w:after="0" w:line="247" w:lineRule="auto"/>
        <w:rPr>
          <w:sz w:val="20"/>
          <w:szCs w:val="20"/>
          <w:color w:val="auto"/>
        </w:rPr>
      </w:pPr>
      <w:r>
        <w:rPr>
          <w:rFonts w:ascii="Times New Roman" w:cs="Times New Roman" w:eastAsia="Times New Roman" w:hAnsi="Times New Roman"/>
          <w:sz w:val="16"/>
          <w:szCs w:val="16"/>
          <w:color w:val="auto"/>
        </w:rPr>
        <w:t>The total minimum regulatory capital ratios and well-capitalized minimum ratios are reflected elsewhere in this document. For purposes of the Federal Reserve’s Regulation Y, including determining whether a bank holding company meets the requirements to be a financial holding company, bank holding companies, such as the Company, must maintain a Tier 1 Risk-Based Capital Ratio of 6.0% or greater and a Total Risk-Based Capital Ratio of 10.0% or greater.</w:t>
      </w:r>
    </w:p>
    <w:p>
      <w:pPr>
        <w:spacing w:after="0" w:line="224" w:lineRule="exact"/>
        <w:rPr>
          <w:sz w:val="20"/>
          <w:szCs w:val="20"/>
          <w:color w:val="auto"/>
        </w:rPr>
      </w:pPr>
    </w:p>
    <w:p>
      <w:pPr>
        <w:ind w:right="60" w:firstLine="588"/>
        <w:spacing w:after="0" w:line="243" w:lineRule="auto"/>
        <w:rPr>
          <w:sz w:val="20"/>
          <w:szCs w:val="20"/>
          <w:color w:val="auto"/>
        </w:rPr>
      </w:pPr>
      <w:r>
        <w:rPr>
          <w:rFonts w:ascii="Times New Roman" w:cs="Times New Roman" w:eastAsia="Times New Roman" w:hAnsi="Times New Roman"/>
          <w:sz w:val="16"/>
          <w:szCs w:val="16"/>
          <w:color w:val="auto"/>
        </w:rPr>
        <w:t>Failure to be well-capitalized or to meet minimum capital requirements could result in certain mandatory and possible additional discretionary actions by regulators that, if undertaken, could have a material adverse effect on our operations or financial condition. Failure to be well -capitalized or to meet minimum capital requirements could also result in restrictions on the Company’s or the Bank’s ability to pay dividends or otherwise distribute capital or to receive regulatory approval of applications.</w:t>
      </w:r>
    </w:p>
    <w:p>
      <w:pPr>
        <w:spacing w:after="0" w:line="167" w:lineRule="exact"/>
        <w:rPr>
          <w:sz w:val="20"/>
          <w:szCs w:val="20"/>
          <w:color w:val="auto"/>
        </w:rPr>
      </w:pPr>
    </w:p>
    <w:p>
      <w:pPr>
        <w:ind w:firstLine="588"/>
        <w:spacing w:after="0" w:line="243" w:lineRule="auto"/>
        <w:rPr>
          <w:sz w:val="20"/>
          <w:szCs w:val="20"/>
          <w:color w:val="auto"/>
        </w:rPr>
      </w:pPr>
      <w:r>
        <w:rPr>
          <w:rFonts w:ascii="Times New Roman" w:cs="Times New Roman" w:eastAsia="Times New Roman" w:hAnsi="Times New Roman"/>
          <w:sz w:val="16"/>
          <w:szCs w:val="16"/>
          <w:color w:val="auto"/>
        </w:rPr>
        <w:t>In addition to meeting the minimum capital requirements, under the Basel III Capital Rules, the Company and the Bank must also maintain the required Capital Conservation Buffer to avoid becoming subject to restrictions on capital distributions and certain discretionary bonus payments to management. The Capital Conservation Buffer is calculated as a ratio of CET1 capital to risk-weighted assets, and it effectively increases the required minimum risk-based capital ratios. The Capital Conservation Buffer is now at its fully phased-in level of 2.5%.</w:t>
      </w:r>
    </w:p>
    <w:p>
      <w:pPr>
        <w:spacing w:after="0" w:line="167" w:lineRule="exact"/>
        <w:rPr>
          <w:sz w:val="20"/>
          <w:szCs w:val="20"/>
          <w:color w:val="auto"/>
        </w:rPr>
      </w:pPr>
    </w:p>
    <w:p>
      <w:pPr>
        <w:ind w:right="160" w:firstLine="588"/>
        <w:spacing w:after="0" w:line="259" w:lineRule="auto"/>
        <w:rPr>
          <w:sz w:val="20"/>
          <w:szCs w:val="20"/>
          <w:color w:val="auto"/>
        </w:rPr>
      </w:pPr>
      <w:r>
        <w:rPr>
          <w:rFonts w:ascii="Times New Roman" w:cs="Times New Roman" w:eastAsia="Times New Roman" w:hAnsi="Times New Roman"/>
          <w:sz w:val="16"/>
          <w:szCs w:val="16"/>
          <w:color w:val="auto"/>
        </w:rPr>
        <w:t>The Tier 1 Leverage Ratio is not impacted by the Capital Conservation Buffer, and a banking institution may be considered well-capitalized while remaining out of compliance with the Capital Conservation Buffer.</w:t>
      </w:r>
    </w:p>
    <w:p>
      <w:pPr>
        <w:spacing w:after="0" w:line="155" w:lineRule="exact"/>
        <w:rPr>
          <w:sz w:val="20"/>
          <w:szCs w:val="20"/>
          <w:color w:val="auto"/>
        </w:rPr>
      </w:pPr>
    </w:p>
    <w:p>
      <w:pPr>
        <w:ind w:right="400" w:firstLine="588"/>
        <w:spacing w:after="0" w:line="259" w:lineRule="auto"/>
        <w:rPr>
          <w:sz w:val="20"/>
          <w:szCs w:val="20"/>
          <w:color w:val="auto"/>
        </w:rPr>
      </w:pPr>
      <w:r>
        <w:rPr>
          <w:rFonts w:ascii="Times New Roman" w:cs="Times New Roman" w:eastAsia="Times New Roman" w:hAnsi="Times New Roman"/>
          <w:sz w:val="16"/>
          <w:szCs w:val="16"/>
          <w:color w:val="auto"/>
        </w:rPr>
        <w:t>The table below summarizes the capital requirements that the Company and the Bank must satisfy to avoid limitations on capital distributions and certain discretionary bonus payments (i.e., the required minimum capital ratios plus the Capital Conservation Buffer):</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CET1 risk-based capital ratio</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Tier 1 risk-based capital ratio</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risk-based capital ratio</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Minimum Basel III Regulatory</w:t>
      </w:r>
    </w:p>
    <w:p>
      <w:pPr>
        <w:spacing w:after="0" w:line="3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Capital Ratio Plus Capital</w:t>
      </w:r>
    </w:p>
    <w:p>
      <w:pPr>
        <w:jc w:val="center"/>
        <w:ind w:right="580"/>
        <w:spacing w:after="0" w:line="234" w:lineRule="auto"/>
        <w:rPr>
          <w:sz w:val="20"/>
          <w:szCs w:val="20"/>
          <w:color w:val="auto"/>
        </w:rPr>
      </w:pPr>
      <w:r>
        <w:rPr>
          <w:rFonts w:ascii="Times New Roman" w:cs="Times New Roman" w:eastAsia="Times New Roman" w:hAnsi="Times New Roman"/>
          <w:sz w:val="16"/>
          <w:szCs w:val="16"/>
          <w:b w:val="1"/>
          <w:bCs w:val="1"/>
          <w:color w:val="auto"/>
        </w:rPr>
        <w:t>Conservation Buffer</w:t>
      </w:r>
    </w:p>
    <w:p>
      <w:pPr>
        <w:jc w:val="center"/>
        <w:ind w:right="580"/>
        <w:spacing w:after="0" w:line="235" w:lineRule="auto"/>
        <w:rPr>
          <w:sz w:val="20"/>
          <w:szCs w:val="20"/>
          <w:color w:val="auto"/>
        </w:rPr>
      </w:pPr>
      <w:r>
        <w:rPr>
          <w:rFonts w:ascii="Times New Roman" w:cs="Times New Roman" w:eastAsia="Times New Roman" w:hAnsi="Times New Roman"/>
          <w:sz w:val="16"/>
          <w:szCs w:val="16"/>
          <w:b w:val="1"/>
          <w:bCs w:val="1"/>
          <w:color w:val="auto"/>
        </w:rPr>
        <w:t>Effective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-5024755</wp:posOffset>
            </wp:positionH>
            <wp:positionV relativeFrom="paragraph">
              <wp:posOffset>-1905</wp:posOffset>
            </wp:positionV>
            <wp:extent cx="6707505" cy="144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jc w:val="right"/>
        <w:spacing w:after="0" w:line="183" w:lineRule="auto"/>
        <w:rPr>
          <w:sz w:val="20"/>
          <w:szCs w:val="20"/>
          <w:color w:val="auto"/>
        </w:rPr>
      </w:pPr>
      <w:r>
        <w:rPr>
          <w:rFonts w:ascii="Times New Roman" w:cs="Times New Roman" w:eastAsia="Times New Roman" w:hAnsi="Times New Roman"/>
          <w:sz w:val="14"/>
          <w:szCs w:val="14"/>
          <w:color w:val="auto"/>
        </w:rPr>
        <w:t xml:space="preserve">7.0 </w:t>
      </w:r>
      <w:r>
        <w:rPr>
          <w:rFonts w:ascii="Times New Roman" w:cs="Times New Roman" w:eastAsia="Times New Roman" w:hAnsi="Times New Roman"/>
          <w:sz w:val="26"/>
          <w:szCs w:val="26"/>
          <w:color w:val="auto"/>
          <w:vertAlign w:val="superscript"/>
        </w:rPr>
        <w:t>%</w:t>
      </w:r>
    </w:p>
    <w:p>
      <w:pPr>
        <w:jc w:val="right"/>
        <w:spacing w:after="0" w:line="235" w:lineRule="auto"/>
        <w:rPr>
          <w:sz w:val="20"/>
          <w:szCs w:val="20"/>
          <w:color w:val="auto"/>
        </w:rPr>
      </w:pPr>
      <w:r>
        <w:rPr>
          <w:rFonts w:ascii="Times New Roman" w:cs="Times New Roman" w:eastAsia="Times New Roman" w:hAnsi="Times New Roman"/>
          <w:sz w:val="16"/>
          <w:szCs w:val="16"/>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-5024755</wp:posOffset>
            </wp:positionH>
            <wp:positionV relativeFrom="paragraph">
              <wp:posOffset>-1905</wp:posOffset>
            </wp:positionV>
            <wp:extent cx="6707505"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color w:val="auto"/>
        </w:rPr>
        <w:t>10.5 %</w:t>
      </w:r>
    </w:p>
    <w:p>
      <w:pPr>
        <w:spacing w:after="0" w:line="182" w:lineRule="exact"/>
        <w:rPr>
          <w:sz w:val="20"/>
          <w:szCs w:val="20"/>
          <w:color w:val="auto"/>
        </w:rPr>
      </w:pPr>
    </w:p>
    <w:p>
      <w:pPr>
        <w:sectPr>
          <w:pgSz w:w="11900" w:h="16840" w:orient="portrait"/>
          <w:cols w:equalWidth="0" w:num="2">
            <w:col w:w="7200" w:space="720"/>
            <w:col w:w="2640"/>
          </w:cols>
          <w:pgMar w:left="660" w:top="1440" w:right="680" w:bottom="1440" w:gutter="0" w:footer="0" w:header="0"/>
        </w:sectPr>
      </w:pPr>
    </w:p>
    <w:p>
      <w:pPr>
        <w:ind w:right="280" w:firstLine="588"/>
        <w:spacing w:after="0" w:line="259" w:lineRule="auto"/>
        <w:rPr>
          <w:sz w:val="20"/>
          <w:szCs w:val="20"/>
          <w:color w:val="auto"/>
        </w:rPr>
      </w:pPr>
      <w:r>
        <w:rPr>
          <w:rFonts w:ascii="Times New Roman" w:cs="Times New Roman" w:eastAsia="Times New Roman" w:hAnsi="Times New Roman"/>
          <w:sz w:val="16"/>
          <w:szCs w:val="16"/>
          <w:color w:val="auto"/>
        </w:rPr>
        <w:t xml:space="preserve">As of December 31, 2024 the Company and the Bank are well-capitalized for regulatory purposes. For a tabular presentation of the Company’s and Bank’s capital ratios as of December 31, 2024, see Note 16 — </w:t>
      </w:r>
      <w:r>
        <w:rPr>
          <w:rFonts w:ascii="Times New Roman" w:cs="Times New Roman" w:eastAsia="Times New Roman" w:hAnsi="Times New Roman"/>
          <w:sz w:val="16"/>
          <w:szCs w:val="16"/>
          <w:i w:val="1"/>
          <w:iCs w:val="1"/>
          <w:color w:val="auto"/>
        </w:rPr>
        <w:t>Regulatory Matters</w:t>
      </w:r>
      <w:r>
        <w:rPr>
          <w:rFonts w:ascii="Times New Roman" w:cs="Times New Roman" w:eastAsia="Times New Roman" w:hAnsi="Times New Roman"/>
          <w:sz w:val="16"/>
          <w:szCs w:val="16"/>
          <w:color w:val="auto"/>
        </w:rPr>
        <w:t xml:space="preserve"> of the notes to the consolidated financial statements.</w:t>
      </w:r>
    </w:p>
    <w:p>
      <w:pPr>
        <w:spacing w:after="0" w:line="191" w:lineRule="exact"/>
        <w:rPr>
          <w:sz w:val="20"/>
          <w:szCs w:val="20"/>
          <w:color w:val="auto"/>
        </w:rPr>
      </w:pPr>
    </w:p>
    <w:p>
      <w:pPr>
        <w:ind w:right="60" w:firstLine="588"/>
        <w:spacing w:after="0" w:line="239" w:lineRule="auto"/>
        <w:rPr>
          <w:sz w:val="20"/>
          <w:szCs w:val="20"/>
          <w:color w:val="auto"/>
        </w:rPr>
      </w:pPr>
      <w:r>
        <w:rPr>
          <w:rFonts w:ascii="Times New Roman" w:cs="Times New Roman" w:eastAsia="Times New Roman" w:hAnsi="Times New Roman"/>
          <w:sz w:val="16"/>
          <w:szCs w:val="16"/>
          <w:color w:val="auto"/>
        </w:rPr>
        <w:t>In December 2017, the Basel Committee published standards that it described as the finalization of the Basel III post-crisis regulatory reforms (the standards are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as amended, these standards were effective on January 1, 2023, with an aggregate output floor phasing in through January 1, 2028. Under the current U.S. capital rules, operational risk capital requirements and a capital floor apply only to advanced approaches institutions, and not to the Company and the Bank.</w:t>
      </w:r>
    </w:p>
    <w:p>
      <w:pPr>
        <w:spacing w:after="0" w:line="209" w:lineRule="exact"/>
        <w:rPr>
          <w:sz w:val="20"/>
          <w:szCs w:val="20"/>
          <w:color w:val="auto"/>
        </w:rPr>
      </w:pPr>
    </w:p>
    <w:p>
      <w:pPr>
        <w:ind w:firstLine="588"/>
        <w:spacing w:after="0" w:line="241" w:lineRule="auto"/>
        <w:rPr>
          <w:sz w:val="20"/>
          <w:szCs w:val="20"/>
          <w:color w:val="auto"/>
        </w:rPr>
      </w:pPr>
      <w:r>
        <w:rPr>
          <w:rFonts w:ascii="Times New Roman" w:cs="Times New Roman" w:eastAsia="Times New Roman" w:hAnsi="Times New Roman"/>
          <w:sz w:val="16"/>
          <w:szCs w:val="16"/>
          <w:color w:val="auto"/>
        </w:rPr>
        <w:t>In July, 2023, the FRB, Office of the Comptroller of the Currency (“OCC”) and FDIC proposed significant changes to the Basel III capital rules which replaces the advanced approaches risk-weighted assets framework with a new enhanced risk-based framework and requires banking organizations with generally more than $100 billion in assets to calculate their regulatory capital using more enhanced requirements applicable to even larger organizations. The impact of any changes to capital requirements and calculations and the implementation of Basel IV on us will depend on the manner in which it is implemented by the federal bank regulators with respect to smaller-sized institutions.</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Prompt Corrective Action Provisions</w:t>
      </w:r>
    </w:p>
    <w:p>
      <w:pPr>
        <w:spacing w:after="0" w:line="154" w:lineRule="exact"/>
        <w:rPr>
          <w:sz w:val="20"/>
          <w:szCs w:val="20"/>
          <w:color w:val="auto"/>
        </w:rPr>
      </w:pPr>
    </w:p>
    <w:p>
      <w:pPr>
        <w:ind w:right="20" w:firstLine="588"/>
        <w:spacing w:after="0" w:line="238" w:lineRule="auto"/>
        <w:rPr>
          <w:sz w:val="20"/>
          <w:szCs w:val="20"/>
          <w:color w:val="auto"/>
        </w:rPr>
      </w:pPr>
      <w:r>
        <w:rPr>
          <w:rFonts w:ascii="Times New Roman" w:cs="Times New Roman" w:eastAsia="Times New Roman" w:hAnsi="Times New Roman"/>
          <w:sz w:val="16"/>
          <w:szCs w:val="16"/>
          <w:color w:val="auto"/>
        </w:rPr>
        <w:t>The Federal Deposit Insurance Act requires the federal bank regulatory agencies to take “prompt corrective action” with respect to a depository institution if that institution does not meet certain capital adequacy standards, including requiring the prompt submission of an acceptable capital restoration plan. Depending on the bank’s capital ratios, the agencies’ regulations define five categories in which an insured depository institution will be placed: well-capitalized, adequately capitalized, undercapitalized, significantly undercapitalized, and critically undercapitalized. At each successive lower capital category, an insured bank is subject to more restrictions, including restrictions on the bank’s activities, operational practices or the ability to pay dividends or executive bonuses. Based upon its capital levels, a bank that is classified as well- capitalized, adequately capitalized, or undercapitalized may be treated as though it were in the next lower capital category if the appropriate federal banking agency, after notice and opportunity for hearing, determines that an unsafe or unsound condition, or an unsafe or unsound practice, warrants such treatment.</w:t>
      </w:r>
    </w:p>
    <w:p>
      <w:pPr>
        <w:spacing w:after="0" w:line="137" w:lineRule="exact"/>
        <w:rPr>
          <w:sz w:val="20"/>
          <w:szCs w:val="20"/>
          <w:color w:val="auto"/>
        </w:rPr>
      </w:pPr>
    </w:p>
    <w:p>
      <w:pPr>
        <w:ind w:right="180" w:firstLine="588"/>
        <w:spacing w:after="0" w:line="247" w:lineRule="auto"/>
        <w:rPr>
          <w:sz w:val="20"/>
          <w:szCs w:val="20"/>
          <w:color w:val="auto"/>
        </w:rPr>
      </w:pPr>
      <w:r>
        <w:rPr>
          <w:rFonts w:ascii="Times New Roman" w:cs="Times New Roman" w:eastAsia="Times New Roman" w:hAnsi="Times New Roman"/>
          <w:sz w:val="16"/>
          <w:szCs w:val="16"/>
          <w:color w:val="auto"/>
        </w:rPr>
        <w:t>The prompt corrective action standards were changed to conform with the new capital rules. Under the new standards, in order to be considered well-capitalized, the bank will be required to meet the new common equity Tier 1 ratio of 6.5%, an increased Tier 1 ratio of 8% (increased from 6%), a total capital ratio of 10% (unchanged) and a leverage ratio of 5% (unchanged).</w:t>
      </w:r>
    </w:p>
    <w:p>
      <w:pPr>
        <w:spacing w:after="0" w:line="128" w:lineRule="exact"/>
        <w:rPr>
          <w:sz w:val="20"/>
          <w:szCs w:val="20"/>
          <w:color w:val="auto"/>
        </w:rPr>
      </w:pPr>
    </w:p>
    <w:p>
      <w:pPr>
        <w:ind w:right="300" w:firstLine="588"/>
        <w:spacing w:after="0" w:line="247" w:lineRule="auto"/>
        <w:rPr>
          <w:sz w:val="20"/>
          <w:szCs w:val="20"/>
          <w:color w:val="auto"/>
        </w:rPr>
      </w:pPr>
      <w:r>
        <w:rPr>
          <w:rFonts w:ascii="Times New Roman" w:cs="Times New Roman" w:eastAsia="Times New Roman" w:hAnsi="Times New Roman"/>
          <w:sz w:val="16"/>
          <w:szCs w:val="16"/>
          <w:color w:val="auto"/>
        </w:rPr>
        <w:t>The federal banking agencies also may require banks and bank holding companies subject to enforcement actions to maintain capital ratios in excess of the minimum ratios otherwise required to be deemed well capitalized, in which case institutions may no longer be deemed to be well capitalized and may therefore be subject to certain restrictions such as obtaining new brokered deposits.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Volcker Rule</w:t>
      </w:r>
    </w:p>
    <w:p>
      <w:pPr>
        <w:spacing w:after="0" w:line="156"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In December 2013, the federal bank regulatory agencies adopted final rules that implement a part of the Dodd-Frank Act commonly referred to as the “Volcker Rule.” Under these rules and subject to certain exceptions, banking entities are restricted from engaging in activities that are considered proprietary trading and from sponsoring or investing in certain entities, including hedge or private equity funds that are considered “covered funds.” These rules became effective on April 1, 2014, although certain provisions are subject to delayed effectiveness under rules promulgated by the FRB. The Company</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9" w:name="page10"/>
    <w:bookmarkEnd w:id="9"/>
    <w:p>
      <w:pPr>
        <w:spacing w:after="0" w:line="137"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held small investment positions in three financial technology private equity funds at December 31, 2024, with aggregate potential commitments in such funds of approximately $5 million, which were subject to the final rule. While these rules may require us to conduct certain internal analysis and reporting to ensure continued compliance, they did not require any material changes in our operations or business.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Brokered Deposits</w:t>
      </w:r>
    </w:p>
    <w:p>
      <w:pPr>
        <w:spacing w:after="0" w:line="156" w:lineRule="exact"/>
        <w:rPr>
          <w:sz w:val="20"/>
          <w:szCs w:val="20"/>
          <w:color w:val="auto"/>
        </w:rPr>
      </w:pPr>
    </w:p>
    <w:p>
      <w:pPr>
        <w:ind w:right="240" w:firstLine="588"/>
        <w:spacing w:after="0" w:line="247" w:lineRule="auto"/>
        <w:rPr>
          <w:sz w:val="20"/>
          <w:szCs w:val="20"/>
          <w:color w:val="auto"/>
        </w:rPr>
      </w:pPr>
      <w:r>
        <w:rPr>
          <w:rFonts w:ascii="Times New Roman" w:cs="Times New Roman" w:eastAsia="Times New Roman" w:hAnsi="Times New Roman"/>
          <w:sz w:val="16"/>
          <w:szCs w:val="16"/>
          <w:color w:val="auto"/>
        </w:rPr>
        <w:t>The FDIC limits the ability to accept brokered deposits to those insured depository institutions that are well capitalized. Institutions that are less than well capitalized cannot accept, renew or roll over any brokered deposit unless they have applied for and been granted a waiver by the FDIC. As of December 31, 2024, the Bank had $300 million of deposit liabilities categorized as brokered deposits.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Bank Holding Company Regulation</w:t>
      </w:r>
    </w:p>
    <w:p>
      <w:pPr>
        <w:spacing w:after="0" w:line="156" w:lineRule="exact"/>
        <w:rPr>
          <w:sz w:val="20"/>
          <w:szCs w:val="20"/>
          <w:color w:val="auto"/>
        </w:rPr>
      </w:pPr>
    </w:p>
    <w:p>
      <w:pPr>
        <w:jc w:val="both"/>
        <w:ind w:right="180" w:firstLine="588"/>
        <w:spacing w:after="0" w:line="247" w:lineRule="auto"/>
        <w:rPr>
          <w:sz w:val="20"/>
          <w:szCs w:val="20"/>
          <w:color w:val="auto"/>
        </w:rPr>
      </w:pPr>
      <w:r>
        <w:rPr>
          <w:rFonts w:ascii="Times New Roman" w:cs="Times New Roman" w:eastAsia="Times New Roman" w:hAnsi="Times New Roman"/>
          <w:sz w:val="16"/>
          <w:szCs w:val="16"/>
          <w:color w:val="auto"/>
        </w:rPr>
        <w:t>Bank holding companies and their subsidiaries are subject to significant regulation and restrictions by Federal and State laws and regulatory agencies, which may affect the cost of doing business, and may limit permissible activities and expansion or impact the competitive balance between banks and other financial services providers.</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 wide range of requirements and restrictions are contained in both federal and state banking laws, which together with implementing regulatory authority:</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•Require periodic reports and such additional reports of information as the Federal Reserve may specify;</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•Require bank holding companies to meet or exceed increased levels of capital (See “Capital Adequacy Requirements”);</w:t>
      </w:r>
    </w:p>
    <w:p>
      <w:pPr>
        <w:ind w:left="720" w:right="480"/>
        <w:spacing w:after="0" w:line="234" w:lineRule="auto"/>
        <w:rPr>
          <w:sz w:val="20"/>
          <w:szCs w:val="20"/>
          <w:color w:val="auto"/>
        </w:rPr>
      </w:pPr>
      <w:r>
        <w:rPr>
          <w:rFonts w:ascii="Times New Roman" w:cs="Times New Roman" w:eastAsia="Times New Roman" w:hAnsi="Times New Roman"/>
          <w:sz w:val="16"/>
          <w:szCs w:val="16"/>
          <w:color w:val="auto"/>
        </w:rPr>
        <w:t>•Require that bank holding companies serve as a source of financial and managerial strength to subsidiary banks and commit resources as necessary to support each subsidiary bank;</w:t>
      </w:r>
    </w:p>
    <w:p>
      <w:pPr>
        <w:spacing w:after="0" w:line="1" w:lineRule="exact"/>
        <w:rPr>
          <w:sz w:val="20"/>
          <w:szCs w:val="20"/>
          <w:color w:val="auto"/>
        </w:rPr>
      </w:pPr>
    </w:p>
    <w:p>
      <w:pPr>
        <w:ind w:left="720" w:right="260"/>
        <w:spacing w:after="0" w:line="237" w:lineRule="auto"/>
        <w:rPr>
          <w:sz w:val="20"/>
          <w:szCs w:val="20"/>
          <w:color w:val="auto"/>
        </w:rPr>
      </w:pPr>
      <w:r>
        <w:rPr>
          <w:rFonts w:ascii="Times New Roman" w:cs="Times New Roman" w:eastAsia="Times New Roman" w:hAnsi="Times New Roman"/>
          <w:sz w:val="16"/>
          <w:szCs w:val="16"/>
          <w:color w:val="auto"/>
        </w:rPr>
        <w:t>•Limit dividends payable to shareholders and restrict the ability of bank holding companies to obtain dividends or other distributions from their subsidiary banks. The Company’s ability to pay dividends is subject to legal and regulatory restrictions. Substantially all of CVB’s funds to pay dividends or to pay principal and interest on our debt obligations are derived from dividends paid by the Bank to CVB;</w:t>
      </w:r>
    </w:p>
    <w:p>
      <w:pPr>
        <w:spacing w:after="0" w:line="1" w:lineRule="exact"/>
        <w:rPr>
          <w:sz w:val="20"/>
          <w:szCs w:val="20"/>
          <w:color w:val="auto"/>
        </w:rPr>
      </w:pPr>
    </w:p>
    <w:p>
      <w:pPr>
        <w:ind w:left="720" w:right="180"/>
        <w:spacing w:after="0" w:line="242" w:lineRule="auto"/>
        <w:rPr>
          <w:sz w:val="20"/>
          <w:szCs w:val="20"/>
          <w:color w:val="auto"/>
        </w:rPr>
      </w:pPr>
      <w:r>
        <w:rPr>
          <w:rFonts w:ascii="Times New Roman" w:cs="Times New Roman" w:eastAsia="Times New Roman" w:hAnsi="Times New Roman"/>
          <w:sz w:val="16"/>
          <w:szCs w:val="16"/>
          <w:color w:val="auto"/>
        </w:rPr>
        <w:t>•Require a bank holding company to terminate an activity or terminate control of or liquidate or divest certain subsidiaries, affiliates or investments if the Federal Reserve believes the activity or the control of the subsidiary or affiliate constitutes a significant risk to the financial safety, soundness or stability of any bank subsidiary;</w:t>
      </w:r>
    </w:p>
    <w:p>
      <w:pPr>
        <w:spacing w:after="0" w:line="2" w:lineRule="exact"/>
        <w:rPr>
          <w:sz w:val="20"/>
          <w:szCs w:val="20"/>
          <w:color w:val="auto"/>
        </w:rPr>
      </w:pPr>
    </w:p>
    <w:p>
      <w:pPr>
        <w:ind w:left="720" w:right="140"/>
        <w:spacing w:after="0" w:line="268" w:lineRule="auto"/>
        <w:rPr>
          <w:sz w:val="20"/>
          <w:szCs w:val="20"/>
          <w:color w:val="auto"/>
        </w:rPr>
      </w:pPr>
      <w:r>
        <w:rPr>
          <w:rFonts w:ascii="Times New Roman" w:cs="Times New Roman" w:eastAsia="Times New Roman" w:hAnsi="Times New Roman"/>
          <w:sz w:val="14"/>
          <w:szCs w:val="14"/>
          <w:color w:val="auto"/>
        </w:rPr>
        <w:t>•Require the prior approval of senior executive officer or director changes and prohibit golden parachute payments, including change in control agreements, or new employment agreements with such payment terms, which are contingent upon termination if an institution is in “troubled condition”;</w:t>
      </w:r>
    </w:p>
    <w:p>
      <w:pPr>
        <w:spacing w:after="0" w:line="1" w:lineRule="exact"/>
        <w:rPr>
          <w:sz w:val="20"/>
          <w:szCs w:val="20"/>
          <w:color w:val="auto"/>
        </w:rPr>
      </w:pPr>
    </w:p>
    <w:p>
      <w:pPr>
        <w:ind w:left="720" w:right="300"/>
        <w:spacing w:after="0" w:line="234" w:lineRule="auto"/>
        <w:rPr>
          <w:sz w:val="20"/>
          <w:szCs w:val="20"/>
          <w:color w:val="auto"/>
        </w:rPr>
      </w:pPr>
      <w:r>
        <w:rPr>
          <w:rFonts w:ascii="Times New Roman" w:cs="Times New Roman" w:eastAsia="Times New Roman" w:hAnsi="Times New Roman"/>
          <w:sz w:val="16"/>
          <w:szCs w:val="16"/>
          <w:color w:val="auto"/>
        </w:rPr>
        <w:t>•Regulate provisions of certain bank holding company debt, including the authority to impose interest ceilings and reserve requirements on such debt and require prior approval to purchase or redeem securities in certain situations;</w:t>
      </w:r>
    </w:p>
    <w:p>
      <w:pPr>
        <w:spacing w:after="0" w:line="1" w:lineRule="exact"/>
        <w:rPr>
          <w:sz w:val="20"/>
          <w:szCs w:val="20"/>
          <w:color w:val="auto"/>
        </w:rPr>
      </w:pPr>
    </w:p>
    <w:p>
      <w:pPr>
        <w:ind w:left="720" w:right="180"/>
        <w:spacing w:after="0" w:line="234" w:lineRule="auto"/>
        <w:rPr>
          <w:sz w:val="20"/>
          <w:szCs w:val="20"/>
          <w:color w:val="auto"/>
        </w:rPr>
      </w:pPr>
      <w:r>
        <w:rPr>
          <w:rFonts w:ascii="Times New Roman" w:cs="Times New Roman" w:eastAsia="Times New Roman" w:hAnsi="Times New Roman"/>
          <w:sz w:val="16"/>
          <w:szCs w:val="16"/>
          <w:color w:val="auto"/>
        </w:rPr>
        <w:t>•Require prior approval for the acquisition of 5% or more of the voting stock of a bank or bank holding company by bank holding companies or other acquisitions and mergers with banks and consider certain competitive, management, financial, anti-money-laundering compliance, potential impact on U.S. financial stability or other factors in granting these approvals, in addition to similar California or other state banking agency approvals which may also be required; and</w:t>
      </w:r>
    </w:p>
    <w:p>
      <w:pPr>
        <w:spacing w:after="0" w:line="3" w:lineRule="exact"/>
        <w:rPr>
          <w:sz w:val="20"/>
          <w:szCs w:val="20"/>
          <w:color w:val="auto"/>
        </w:rPr>
      </w:pPr>
    </w:p>
    <w:p>
      <w:pPr>
        <w:ind w:left="720" w:right="520"/>
        <w:spacing w:after="0" w:line="238" w:lineRule="auto"/>
        <w:rPr>
          <w:sz w:val="20"/>
          <w:szCs w:val="20"/>
          <w:color w:val="auto"/>
        </w:rPr>
      </w:pPr>
      <w:r>
        <w:rPr>
          <w:rFonts w:ascii="Times New Roman" w:cs="Times New Roman" w:eastAsia="Times New Roman" w:hAnsi="Times New Roman"/>
          <w:sz w:val="16"/>
          <w:szCs w:val="16"/>
          <w:color w:val="auto"/>
        </w:rPr>
        <w:t>•Require prior notice and/or prior approval of the acquisition of control of a bank or a bank holding company by a shareholder or individuals acting in concert with ownership or control of certain percentage thresholds of the voting stock being a presumption of control.</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Change in Bank Control</w:t>
      </w:r>
    </w:p>
    <w:p>
      <w:pPr>
        <w:spacing w:after="0" w:line="154"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Federal law and regulation set forth the types of transactions that require prior notice under the Change in Bank Control Act (“CIBCA”). Pursuant to CIBCA and Regulation Y, any person (acting directly or indirectly) that seeks to acquire control of a bank or its holding company must provide prior notice to the Federal Reserve. A “person” for this purpose includes an individual, bank, corporation, partnership, trust, association, joint venture, pool, syndicate, sole proprietorship, unincorporated organization, or any other form of entity. A person acquires “control” of a banking organization whenever the person acquires ownership, control, or the power to vote 25 percent or more of any class of voting securities of the institution. The applicable regulations also provide for certain other “rebuttable” presumptions of control.</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 w:name="page11"/>
    <w:bookmarkEnd w:id="10"/>
    <w:p>
      <w:pPr>
        <w:spacing w:after="0" w:line="137" w:lineRule="exact"/>
        <w:rPr>
          <w:sz w:val="20"/>
          <w:szCs w:val="20"/>
          <w:color w:val="auto"/>
        </w:rPr>
      </w:pPr>
    </w:p>
    <w:p>
      <w:pPr>
        <w:ind w:right="60" w:firstLine="588"/>
        <w:spacing w:after="0" w:line="241" w:lineRule="auto"/>
        <w:rPr>
          <w:sz w:val="20"/>
          <w:szCs w:val="20"/>
          <w:color w:val="auto"/>
        </w:rPr>
      </w:pPr>
      <w:r>
        <w:rPr>
          <w:rFonts w:ascii="Times New Roman" w:cs="Times New Roman" w:eastAsia="Times New Roman" w:hAnsi="Times New Roman"/>
          <w:sz w:val="16"/>
          <w:szCs w:val="16"/>
          <w:color w:val="auto"/>
        </w:rPr>
        <w:t>In April 2020, the Federal Reserve adopted a final rule to revise its regulations related to determinations of whether a company has the ability to exercise a controlling influence over another company for purposes of the BHCA. The final rule expands and codifies the presumptions for use in such determinations. By codifying the presumptions, the final rule provides greater transparency on the types of relationships that the Federal Reserve generally views as supporting a facts-and-circumstances determination that one company controls another company. The Federal Reserve’s final rule applies to questions of control under the BHCA, but it does not extend to CIBCA or applicable provisions of California law.</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Other Restrictions on the Company’s Activities</w:t>
      </w:r>
    </w:p>
    <w:p>
      <w:pPr>
        <w:spacing w:after="0" w:line="154"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color w:val="auto"/>
        </w:rPr>
        <w:t>Subject to prior notice or Federal Reserve approval, bank holding companies may generally engage in, or acquire shares of companies engaged in activities determined by the Federal Reserve to be so closely related to banking or managing or controlling banks as to be a proper incident thereto. Bank holding companies which elect and retain “financial holding company” status pursuant to the Gramm-Leach-Bliley Act of 1999 (“GLBA”) may engage in these nonbanking activities and broader securities, insurance, merchant banking and other activities that are determined to be “financial in nature” or are incidental or complementary to activities that are financial in nature without prior Federal Reserve approval. Pursuant to GLBA and Dodd- Frank, in order to elect and retain financial holding company status, a bank holding company and all depository institution subsidiaries of a bank holding company must be considered well capitalized and well managed, and, except in limited circumstances, depository subsidiaries must be in satisfactory compliance with the Community Reinvestment Act (“CRA”), which requires banks to help meet the credit needs of the communities in which they operate. Failure to sustain compliance with these requirements or correct any non-compliance within a fixed time period could lead to divestiture of subsidiary banks or require all activities to conform to those permissible for a bank holding company. CVB has not elected financial holding company status and neither CVB nor the Bank has engaged in any activities determined by the Federal Reserve to be “financial in nature” or incidental or complementary to activities that are “financial in nature.”</w:t>
      </w:r>
    </w:p>
    <w:p>
      <w:pPr>
        <w:spacing w:after="0" w:line="138" w:lineRule="exact"/>
        <w:rPr>
          <w:sz w:val="20"/>
          <w:szCs w:val="20"/>
          <w:color w:val="auto"/>
        </w:rPr>
      </w:pPr>
    </w:p>
    <w:p>
      <w:pPr>
        <w:jc w:val="both"/>
        <w:ind w:right="300" w:firstLine="588"/>
        <w:spacing w:after="0" w:line="331" w:lineRule="auto"/>
        <w:rPr>
          <w:sz w:val="20"/>
          <w:szCs w:val="20"/>
          <w:color w:val="auto"/>
        </w:rPr>
      </w:pPr>
      <w:r>
        <w:rPr>
          <w:rFonts w:ascii="Times New Roman" w:cs="Times New Roman" w:eastAsia="Times New Roman" w:hAnsi="Times New Roman"/>
          <w:sz w:val="14"/>
          <w:szCs w:val="14"/>
          <w:color w:val="auto"/>
        </w:rPr>
        <w:t>CVB is also a bank holding company within the meaning of Section 3700 of the California Financial Code. Therefore, CVB and any of its subsidiaries are subject to examination by, and may be required to file reports with, the California DFPI. DFPI approvals may also be required for certain mergers and acquisitions.</w:t>
      </w:r>
    </w:p>
    <w:p>
      <w:pPr>
        <w:spacing w:after="0" w:line="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Securities Exchange Act of 1934</w:t>
      </w:r>
    </w:p>
    <w:p>
      <w:pPr>
        <w:spacing w:after="0" w:line="154" w:lineRule="exact"/>
        <w:rPr>
          <w:sz w:val="20"/>
          <w:szCs w:val="20"/>
          <w:color w:val="auto"/>
        </w:rPr>
      </w:pPr>
    </w:p>
    <w:p>
      <w:pPr>
        <w:ind w:right="300" w:firstLine="588"/>
        <w:spacing w:after="0" w:line="247" w:lineRule="auto"/>
        <w:rPr>
          <w:sz w:val="20"/>
          <w:szCs w:val="20"/>
          <w:color w:val="auto"/>
        </w:rPr>
      </w:pPr>
      <w:r>
        <w:rPr>
          <w:rFonts w:ascii="Times New Roman" w:cs="Times New Roman" w:eastAsia="Times New Roman" w:hAnsi="Times New Roman"/>
          <w:sz w:val="16"/>
          <w:szCs w:val="16"/>
          <w:color w:val="auto"/>
        </w:rPr>
        <w:t>CVB’s common stock is publicly held and listed on the NASDAQ Stock Market (“NASDAQ”), and CVB is subject to the periodic reporting, information, proxy solicitation, insider trading, corporate governance and other requirements and restrictions of the Securities Exchange Act of 1934 and the regulations of the Securities and Exchange Commission (“SEC”) promulgated thereunder as well as listing requirements of NASDAQ.</w:t>
      </w:r>
    </w:p>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Sarbanes-Oxley Act</w:t>
      </w:r>
    </w:p>
    <w:p>
      <w:pPr>
        <w:spacing w:after="0" w:line="154"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The Company is subject to the accounting oversight and corporate governance requirements of the Sarbanes-Oxley Act of 2002, including, among other things, required executive certification of financial presentations, requirements for board audit committees and their members, and disclosure of controls and procedures and internal control over financial reporting.</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Bank Regulation</w:t>
      </w:r>
    </w:p>
    <w:p>
      <w:pPr>
        <w:spacing w:after="0" w:line="156" w:lineRule="exact"/>
        <w:rPr>
          <w:sz w:val="20"/>
          <w:szCs w:val="20"/>
          <w:color w:val="auto"/>
        </w:rPr>
      </w:pPr>
    </w:p>
    <w:p>
      <w:pPr>
        <w:ind w:firstLine="588"/>
        <w:spacing w:after="0" w:line="275" w:lineRule="auto"/>
        <w:rPr>
          <w:sz w:val="20"/>
          <w:szCs w:val="20"/>
          <w:color w:val="auto"/>
        </w:rPr>
      </w:pPr>
      <w:r>
        <w:rPr>
          <w:rFonts w:ascii="Times New Roman" w:cs="Times New Roman" w:eastAsia="Times New Roman" w:hAnsi="Times New Roman"/>
          <w:sz w:val="14"/>
          <w:szCs w:val="14"/>
          <w:color w:val="auto"/>
        </w:rPr>
        <w:t>As a California commercial bank whose deposits are insured by the FDIC, the Bank is subject to regulation, supervision, and regular examination by the DFPI and by the FDIC, as the Bank’s primary federal regulator, and must additionally comply with certain applicable regulations of the Federal Reserve. Specific federal and state laws and regulations which are applicable to banks regulate, among other things, the scope of their business, their investments, their reserves against deposits, the timing of the availability of deposited funds, their activities relating to dividends, investments, loans, the nature and amount of and collateral for certain loans, servicing and foreclosing on loans, borrowings, capital requirements, certain check-clearing activities, branching, and mergers and acquisitions. California banks are also subject to statutes and regulations including Federal Reserve Regulation O and Federal Reserve Act Sections 23A and 23B and Regulation W, which restrict or limit loans or extensions of credit to “insiders”, including officers, directors, and principal shareholders, and loans or extension of credit by banks to affiliates or purchases of assets from affiliates, including parent bank holding companies, except pursuant to certain exceptions and only on terms and conditions at least as favorable to those prevailing for comparable transactions with unaffiliated parties. Failure to comply with applicable bank regulations or adverse results from any examinations of the Bank could affect our costs of doing business, and may also limit or impede otherwise permissible activities and expansion activities by the Bank.</w:t>
      </w:r>
    </w:p>
    <w:p>
      <w:pPr>
        <w:spacing w:after="0" w:line="296" w:lineRule="exact"/>
        <w:rPr>
          <w:sz w:val="20"/>
          <w:szCs w:val="20"/>
          <w:color w:val="auto"/>
        </w:rPr>
      </w:pPr>
    </w:p>
    <w:p>
      <w:pPr>
        <w:ind w:right="360" w:firstLine="588"/>
        <w:spacing w:after="0" w:line="259" w:lineRule="auto"/>
        <w:rPr>
          <w:sz w:val="20"/>
          <w:szCs w:val="20"/>
          <w:color w:val="auto"/>
        </w:rPr>
      </w:pPr>
      <w:r>
        <w:rPr>
          <w:rFonts w:ascii="Times New Roman" w:cs="Times New Roman" w:eastAsia="Times New Roman" w:hAnsi="Times New Roman"/>
          <w:sz w:val="16"/>
          <w:szCs w:val="16"/>
          <w:color w:val="auto"/>
        </w:rPr>
        <w:t>Pursuant to the Federal Deposit Insurance Act (“FDI Act”) and the California Financial Code, California state chartered commercial banks may generally engage in any activity permissible for national banks. Therefore, the Bank may</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1" w:name="page12"/>
    <w:bookmarkEnd w:id="11"/>
    <w:p>
      <w:pPr>
        <w:spacing w:after="0" w:line="137"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6"/>
          <w:szCs w:val="16"/>
          <w:color w:val="auto"/>
        </w:rPr>
        <w:t>form subsidiaries to engage in the many so-called “closely related to banking” or “nonbanking” activities commonly conducted by national banks in operating subsidiaries or in subsidiaries of bank holding companies. Further, California banks may conduct certain “financial” activities permitted under GLBA in a “financial subsidiary” to the same extent as may a national bank, provided the bank is and remains “well-capitalized,” “well-managed” and in satisfactory compliance with the CRA. The Bank currently has no financial subsidiaries.</w:t>
      </w:r>
    </w:p>
    <w:p>
      <w:pPr>
        <w:spacing w:after="0" w:line="1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FDIC and DFPI Enforcement Authority</w:t>
      </w:r>
    </w:p>
    <w:p>
      <w:pPr>
        <w:spacing w:after="0" w:line="154" w:lineRule="exact"/>
        <w:rPr>
          <w:sz w:val="20"/>
          <w:szCs w:val="20"/>
          <w:color w:val="auto"/>
        </w:rPr>
      </w:pPr>
    </w:p>
    <w:p>
      <w:pPr>
        <w:ind w:firstLine="588"/>
        <w:spacing w:after="0" w:line="276" w:lineRule="auto"/>
        <w:rPr>
          <w:sz w:val="20"/>
          <w:szCs w:val="20"/>
          <w:color w:val="auto"/>
        </w:rPr>
      </w:pPr>
      <w:r>
        <w:rPr>
          <w:rFonts w:ascii="Times New Roman" w:cs="Times New Roman" w:eastAsia="Times New Roman" w:hAnsi="Times New Roman"/>
          <w:sz w:val="14"/>
          <w:szCs w:val="14"/>
          <w:color w:val="auto"/>
        </w:rPr>
        <w:t>The federal and California regulatory structure gives the bank regulatory agencies extensive discretion in connection with their supervisory and enforcement activities and examination policies, including policies with respect to the classification of assets and the establishment of appropriate loan loss reserves for regulatory purposes. The regulatory agencies have adopted guidelines to assist in identifying and addressing potential safety and soundness concerns before an institution’s capital becomes impaired. The guidelines establish operational and managerial standards generally relating to: (1) internal controls, information systems, and internal audit systems; (2) loan documentation; (3) credit underwriting; (4) interest- rate exposure; (5) asset growth and asset quality; and (6) compensation, fees, and benefits. Further, the regulatory agencies have adopted safety and soundness guidelines for asset quality and for evaluating and monitoring earnings to ensure that earnings are sufficient for the maintenance of adequate capital and reserves. If, as a result of an examination, the DFPI or the FDIC should determine that the financial condition, capital resources, asset quality, earnings prospects, management, liquidity, or other aspects of the Bank’s operations are unsatisfactory or that the Bank or its management is violating or has violated any law or regulation, the DFPI and the FDIC, and separately the FDIC as insurer of the Bank’s deposits, have residual authority to:</w:t>
      </w:r>
    </w:p>
    <w:p>
      <w:pPr>
        <w:spacing w:after="0" w:line="1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•Require prompt affirmative action to correct any conditions resulting from any violation or practice;</w:t>
      </w:r>
    </w:p>
    <w:p>
      <w:pPr>
        <w:spacing w:after="0" w:line="14" w:lineRule="exact"/>
        <w:rPr>
          <w:sz w:val="20"/>
          <w:szCs w:val="20"/>
          <w:color w:val="auto"/>
        </w:rPr>
      </w:pPr>
    </w:p>
    <w:p>
      <w:pPr>
        <w:ind w:left="720" w:right="460"/>
        <w:spacing w:after="0" w:line="234" w:lineRule="auto"/>
        <w:rPr>
          <w:sz w:val="20"/>
          <w:szCs w:val="20"/>
          <w:color w:val="auto"/>
        </w:rPr>
      </w:pPr>
      <w:r>
        <w:rPr>
          <w:rFonts w:ascii="Times New Roman" w:cs="Times New Roman" w:eastAsia="Times New Roman" w:hAnsi="Times New Roman"/>
          <w:sz w:val="16"/>
          <w:szCs w:val="16"/>
          <w:color w:val="auto"/>
        </w:rPr>
        <w:t>•Direct an increase in capital and the maintenance of higher specific minimum capital ratios, which could preclude the Bank from being deemed well-capitalized and restrict its ability to accept certain brokered deposits;</w:t>
      </w:r>
    </w:p>
    <w:p>
      <w:pPr>
        <w:spacing w:after="0" w:line="1" w:lineRule="exact"/>
        <w:rPr>
          <w:sz w:val="20"/>
          <w:szCs w:val="20"/>
          <w:color w:val="auto"/>
        </w:rPr>
      </w:pPr>
    </w:p>
    <w:p>
      <w:pPr>
        <w:ind w:left="720" w:right="300"/>
        <w:spacing w:after="0" w:line="234" w:lineRule="auto"/>
        <w:rPr>
          <w:sz w:val="20"/>
          <w:szCs w:val="20"/>
          <w:color w:val="auto"/>
        </w:rPr>
      </w:pPr>
      <w:r>
        <w:rPr>
          <w:rFonts w:ascii="Times New Roman" w:cs="Times New Roman" w:eastAsia="Times New Roman" w:hAnsi="Times New Roman"/>
          <w:sz w:val="16"/>
          <w:szCs w:val="16"/>
          <w:color w:val="auto"/>
        </w:rPr>
        <w:t>•Restrict the Bank’s growth geographically, by products and services, or by mergers and acquisitions, including bidding in FDIC receiverships for failed banks;</w:t>
      </w:r>
    </w:p>
    <w:p>
      <w:pPr>
        <w:spacing w:after="0" w:line="1" w:lineRule="exact"/>
        <w:rPr>
          <w:sz w:val="20"/>
          <w:szCs w:val="20"/>
          <w:color w:val="auto"/>
        </w:rPr>
      </w:pPr>
    </w:p>
    <w:p>
      <w:pPr>
        <w:ind w:left="720" w:right="100"/>
        <w:spacing w:after="0" w:line="234" w:lineRule="auto"/>
        <w:rPr>
          <w:sz w:val="20"/>
          <w:szCs w:val="20"/>
          <w:color w:val="auto"/>
        </w:rPr>
      </w:pPr>
      <w:r>
        <w:rPr>
          <w:rFonts w:ascii="Times New Roman" w:cs="Times New Roman" w:eastAsia="Times New Roman" w:hAnsi="Times New Roman"/>
          <w:sz w:val="16"/>
          <w:szCs w:val="16"/>
          <w:color w:val="auto"/>
        </w:rPr>
        <w:t>•Enter into or issue informal or formal enforcement actions, including required Board resolutions, matters requiring board attention, written agreements and consent or cease and desist orders or prompt corrective action orders to take corrective action and cease unsafe and unsound practices;</w:t>
      </w:r>
    </w:p>
    <w:p>
      <w:pPr>
        <w:spacing w:after="0" w:line="1" w:lineRule="exact"/>
        <w:rPr>
          <w:sz w:val="20"/>
          <w:szCs w:val="20"/>
          <w:color w:val="auto"/>
        </w:rPr>
      </w:pPr>
    </w:p>
    <w:p>
      <w:pPr>
        <w:ind w:left="720" w:right="680"/>
        <w:spacing w:after="0" w:line="304" w:lineRule="auto"/>
        <w:rPr>
          <w:sz w:val="20"/>
          <w:szCs w:val="20"/>
          <w:color w:val="auto"/>
        </w:rPr>
      </w:pPr>
      <w:r>
        <w:rPr>
          <w:rFonts w:ascii="Times New Roman" w:cs="Times New Roman" w:eastAsia="Times New Roman" w:hAnsi="Times New Roman"/>
          <w:sz w:val="14"/>
          <w:szCs w:val="14"/>
          <w:color w:val="auto"/>
        </w:rPr>
        <w:t>•Require prior approval of senior executive officer or director changes; remove officers and directors and assess civil monetary penalties; and •Terminate FDIC insurance, revoke the Bank’s charter and/or take possession of and close and liquidate the Bank or appoint the FDIC as receiver.</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Mergers and Acquisitions</w:t>
      </w:r>
    </w:p>
    <w:p>
      <w:pPr>
        <w:spacing w:after="0" w:line="154" w:lineRule="exact"/>
        <w:rPr>
          <w:sz w:val="20"/>
          <w:szCs w:val="20"/>
          <w:color w:val="auto"/>
        </w:rPr>
      </w:pPr>
    </w:p>
    <w:p>
      <w:pPr>
        <w:ind w:right="40" w:firstLine="348"/>
        <w:spacing w:after="0" w:line="239" w:lineRule="auto"/>
        <w:rPr>
          <w:sz w:val="20"/>
          <w:szCs w:val="20"/>
          <w:color w:val="auto"/>
        </w:rPr>
      </w:pPr>
      <w:r>
        <w:rPr>
          <w:rFonts w:ascii="Times New Roman" w:cs="Times New Roman" w:eastAsia="Times New Roman" w:hAnsi="Times New Roman"/>
          <w:sz w:val="16"/>
          <w:szCs w:val="16"/>
          <w:color w:val="auto"/>
        </w:rPr>
        <w:t>On July 9, 2021, President Biden signed an “Executive Order on Promoting Competition in the American Economy.” Included within the order is a sweeping recommendation that the Attorney General, in consultation with the heads of the FRB, FDIC and OCC review current practices and adopt a plan within 180 days for the “revitalization” of bank merger oversight to provide more extensive scrutiny of mergers. On September 17, 2024, the Board of Directors of the FDIC approved a final Statement of Policy on Bank Merger Transactions (“FDIC Statement of Policy”), and the OCC approved a final rule updating its regulations for business combinations involving national banks and federal savings associations (“OCC Final Rule”) . The OCC Final Rule also includes a policy statement mirroring the FDIC Statement of Policy regarding the Bank Merger Act statutory factors, but also describes the general principles the OCC applies when reviewing bank merger applications (“OCC Statement of Policy”).</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Deposit Insurance</w:t>
      </w:r>
    </w:p>
    <w:p>
      <w:pPr>
        <w:spacing w:after="0" w:line="154" w:lineRule="exact"/>
        <w:rPr>
          <w:sz w:val="20"/>
          <w:szCs w:val="20"/>
          <w:color w:val="auto"/>
        </w:rPr>
      </w:pPr>
    </w:p>
    <w:p>
      <w:pPr>
        <w:ind w:right="120" w:firstLine="588"/>
        <w:spacing w:after="0" w:line="239" w:lineRule="auto"/>
        <w:rPr>
          <w:sz w:val="20"/>
          <w:szCs w:val="20"/>
          <w:color w:val="auto"/>
        </w:rPr>
      </w:pPr>
      <w:r>
        <w:rPr>
          <w:rFonts w:ascii="Times New Roman" w:cs="Times New Roman" w:eastAsia="Times New Roman" w:hAnsi="Times New Roman"/>
          <w:sz w:val="16"/>
          <w:szCs w:val="16"/>
          <w:color w:val="auto"/>
        </w:rPr>
        <w:t>The FDIC is an independent federal agency that insures deposits, up to prescribed statutory limits, of federally insured banks and savings institutions and safeguards the safety and soundness of the banking and savings industries. The FDIC insures our customer deposits through the DIF up to prescribed limits for each depositor. The Dodd -Frank Act revised the FDIC’s DIF management authority by setting requirements for the Designated Reserve Ratio (the “DRR”, calculated as the DIF balance divided by estimated insured deposits) and redefining the assessment base, which is used to calculate banks’ quarterly assessments. The amount of FDIC assessments paid by each DIF member institution is based on its asset size and relative risk of default as measured by regulatory capital ratios and other supervisory factors. The FDIC may terminate a depository institution’s deposit insurance upon a finding that the institution’s financial condition is unsafe or unsound or that the institution has engaged in unsafe or unsound practices that pose a risk to the DIF or that may prejudice the interest of the</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2" w:name="page13"/>
    <w:bookmarkEnd w:id="12"/>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bank’s depositors. The termination of deposit insurance for a bank would also result in the revocation of the bank’s charter by the DFPI.</w:t>
      </w:r>
    </w:p>
    <w:p>
      <w:pPr>
        <w:spacing w:after="0" w:line="152" w:lineRule="exact"/>
        <w:rPr>
          <w:sz w:val="20"/>
          <w:szCs w:val="20"/>
          <w:color w:val="auto"/>
        </w:rPr>
      </w:pPr>
    </w:p>
    <w:p>
      <w:pPr>
        <w:jc w:val="both"/>
        <w:ind w:right="80" w:firstLine="588"/>
        <w:spacing w:after="0" w:line="247" w:lineRule="auto"/>
        <w:rPr>
          <w:sz w:val="20"/>
          <w:szCs w:val="20"/>
          <w:color w:val="auto"/>
        </w:rPr>
      </w:pPr>
      <w:r>
        <w:rPr>
          <w:rFonts w:ascii="Times New Roman" w:cs="Times New Roman" w:eastAsia="Times New Roman" w:hAnsi="Times New Roman"/>
          <w:sz w:val="16"/>
          <w:szCs w:val="16"/>
          <w:color w:val="auto"/>
        </w:rPr>
        <w:t>We are generally unable to control the amount of premiums that we are required to pay for FDIC insurance, which can be affected by the cost of bank failures to the FDIC, among other factors. The FDIC is an independent federal agency that insures deposits through the DIF up to prescribed statutory limits of federally insured banks and savings institutions and safeguards the safety and soundness of the banking and savings industries.</w:t>
      </w:r>
    </w:p>
    <w:p>
      <w:pPr>
        <w:spacing w:after="0" w:line="128" w:lineRule="exact"/>
        <w:rPr>
          <w:sz w:val="20"/>
          <w:szCs w:val="20"/>
          <w:color w:val="auto"/>
        </w:rPr>
      </w:pPr>
    </w:p>
    <w:p>
      <w:pPr>
        <w:ind w:right="60" w:firstLine="588"/>
        <w:spacing w:after="0" w:line="247" w:lineRule="auto"/>
        <w:rPr>
          <w:sz w:val="20"/>
          <w:szCs w:val="20"/>
          <w:color w:val="auto"/>
        </w:rPr>
      </w:pPr>
      <w:r>
        <w:rPr>
          <w:rFonts w:ascii="Times New Roman" w:cs="Times New Roman" w:eastAsia="Times New Roman" w:hAnsi="Times New Roman"/>
          <w:sz w:val="16"/>
          <w:szCs w:val="16"/>
          <w:color w:val="auto"/>
        </w:rPr>
        <w:t>The FDIC has set the target DRR at 2.00%. In October 2022, in order to increase the likelihood that the reserve ratio would be restored to at least 1.35% by the statutory deadline of September 30, 2029, the FDIC increased the initial base deposit insurance assessment rate schedules uniformly by two (2) basis points. The FDIC will, at least semi-annually, update its income and loss projections for the DIF and, if necessary, propose rules to further increase assessment rates.</w:t>
      </w:r>
    </w:p>
    <w:p>
      <w:pPr>
        <w:spacing w:after="0" w:line="128" w:lineRule="exact"/>
        <w:rPr>
          <w:sz w:val="20"/>
          <w:szCs w:val="20"/>
          <w:color w:val="auto"/>
        </w:rPr>
      </w:pPr>
    </w:p>
    <w:p>
      <w:pPr>
        <w:ind w:right="80" w:firstLine="588"/>
        <w:spacing w:after="0" w:line="239" w:lineRule="auto"/>
        <w:rPr>
          <w:sz w:val="20"/>
          <w:szCs w:val="20"/>
          <w:color w:val="auto"/>
        </w:rPr>
      </w:pPr>
      <w:r>
        <w:rPr>
          <w:rFonts w:ascii="Times New Roman" w:cs="Times New Roman" w:eastAsia="Times New Roman" w:hAnsi="Times New Roman"/>
          <w:sz w:val="16"/>
          <w:szCs w:val="16"/>
          <w:color w:val="auto"/>
        </w:rPr>
        <w:t>In addition, in November, 2023, the FDIC approved a final rule to implement a special deposit insurance assessment (the “FDIC Special Assessment”) to recover losses to the DIF arising from the protection of uninsured depositors following the receiverships of failed institutions in the spring of 2023. The Company recognized special assessment expense of $9.2 million in the fourth quarter of 2023. In addition, the FDIC retained the ability to make further adjustments to the special assessment depending on subsequent adjustments to the DIF's estimated loss. During 2024, the FDIC revised its loss estimate and projected that the special assessment could be collected beyond its initial eight-quarter collection period. As a result, the Company recorded an additional FDIC Special Assessment charge of $1.6 million during 2024.</w:t>
      </w:r>
    </w:p>
    <w:p>
      <w:pPr>
        <w:spacing w:after="0" w:line="137" w:lineRule="exact"/>
        <w:rPr>
          <w:sz w:val="20"/>
          <w:szCs w:val="20"/>
          <w:color w:val="auto"/>
        </w:rPr>
      </w:pPr>
    </w:p>
    <w:p>
      <w:pPr>
        <w:ind w:firstLine="588"/>
        <w:spacing w:after="0" w:line="259" w:lineRule="auto"/>
        <w:rPr>
          <w:sz w:val="20"/>
          <w:szCs w:val="20"/>
          <w:color w:val="auto"/>
        </w:rPr>
      </w:pPr>
      <w:r>
        <w:rPr>
          <w:rFonts w:ascii="Times New Roman" w:cs="Times New Roman" w:eastAsia="Times New Roman" w:hAnsi="Times New Roman"/>
          <w:sz w:val="16"/>
          <w:szCs w:val="16"/>
          <w:color w:val="auto"/>
        </w:rPr>
        <w:t>Any future increases in FDIC insurance premiums may have a material and adverse effect on our earnings and could have a material adverse effect on the value of, or market for, our common stock.</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56"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The Federal Reserve also discourages dividend payment ratios that are at maximum allowable levels unless both asset quality and capital are very strong. In addition, a bank holding company may be unable to pay dividends on its common stock if it fails to maintain an adequate capital conservation buffer under current capital rules. There can be no assurance regarding the amount of dividends that the Company will pay to its shareholders in the future or that the Company will continue to pay dividends to its shareholders at all.</w:t>
      </w:r>
    </w:p>
    <w:p>
      <w:pPr>
        <w:spacing w:after="0" w:line="134" w:lineRule="exact"/>
        <w:rPr>
          <w:sz w:val="20"/>
          <w:szCs w:val="20"/>
          <w:color w:val="auto"/>
        </w:rPr>
      </w:pPr>
    </w:p>
    <w:p>
      <w:pPr>
        <w:ind w:right="40" w:firstLine="588"/>
        <w:spacing w:after="0" w:line="331" w:lineRule="auto"/>
        <w:rPr>
          <w:sz w:val="20"/>
          <w:szCs w:val="20"/>
          <w:color w:val="auto"/>
        </w:rPr>
      </w:pPr>
      <w:r>
        <w:rPr>
          <w:rFonts w:ascii="Times New Roman" w:cs="Times New Roman" w:eastAsia="Times New Roman" w:hAnsi="Times New Roman"/>
          <w:sz w:val="14"/>
          <w:szCs w:val="14"/>
          <w:color w:val="auto"/>
        </w:rPr>
        <w:t>The Federal Reserve also maintains a policy that redemptions of instruments included in regulatory capital and repurchases of common stock from investors be consistent with an organization’s current and prospective capital needs. We consult with the Federal Reserve regarding our plans for common stock repurchases.</w:t>
      </w:r>
    </w:p>
    <w:p>
      <w:pPr>
        <w:spacing w:after="0" w:line="72" w:lineRule="exact"/>
        <w:rPr>
          <w:sz w:val="20"/>
          <w:szCs w:val="20"/>
          <w:color w:val="auto"/>
        </w:rPr>
      </w:pPr>
    </w:p>
    <w:p>
      <w:pPr>
        <w:jc w:val="both"/>
        <w:ind w:right="220" w:firstLine="588"/>
        <w:spacing w:after="0" w:line="243" w:lineRule="auto"/>
        <w:rPr>
          <w:sz w:val="20"/>
          <w:szCs w:val="20"/>
          <w:color w:val="auto"/>
        </w:rPr>
      </w:pPr>
      <w:r>
        <w:rPr>
          <w:rFonts w:ascii="Times New Roman" w:cs="Times New Roman" w:eastAsia="Times New Roman" w:hAnsi="Times New Roman"/>
          <w:sz w:val="16"/>
          <w:szCs w:val="16"/>
          <w:color w:val="auto"/>
        </w:rPr>
        <w:t>The Bank is a legal entity that is separate and distinct from its holding company. CVB relies on dividends received from the Bank for use in the operation of the Company and the ability of CVB to pay dividends to shareholders. Future cash dividends by the Bank will also depend upon management’s assessment of future capital requirements, contractual restrictions, and other factors. Current capital rules may restrict dividends by the Bank if the additional capital conservation buffer is not achieved. See “Capital Adequacy Requirements”.</w:t>
      </w:r>
    </w:p>
    <w:p>
      <w:pPr>
        <w:spacing w:after="0" w:line="131" w:lineRule="exact"/>
        <w:rPr>
          <w:sz w:val="20"/>
          <w:szCs w:val="20"/>
          <w:color w:val="auto"/>
        </w:rPr>
      </w:pPr>
    </w:p>
    <w:p>
      <w:pPr>
        <w:ind w:right="60" w:firstLine="588"/>
        <w:spacing w:after="0" w:line="243" w:lineRule="auto"/>
        <w:rPr>
          <w:sz w:val="20"/>
          <w:szCs w:val="20"/>
          <w:color w:val="auto"/>
        </w:rPr>
      </w:pPr>
      <w:r>
        <w:rPr>
          <w:rFonts w:ascii="Times New Roman" w:cs="Times New Roman" w:eastAsia="Times New Roman" w:hAnsi="Times New Roman"/>
          <w:sz w:val="16"/>
          <w:szCs w:val="16"/>
          <w:color w:val="auto"/>
        </w:rPr>
        <w:t>The ability of the Bank to declare a cash dividend to CVB is subject to California law, which restricts the amount available for cash dividends to the lesser of a bank’s retained earnings or net income for its last three fiscal years (less any distributions to shareholders made during such period). Where the above test is not met, cash dividends may still be paid, with the prior approval of the DFPI, in an amount not exceeding the greatest of (1) retained earnings of the bank; (2) the net income of the bank for its last fiscal year; or (3) the net income of the bank for its current fiscal year.</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Compensation</w:t>
      </w:r>
    </w:p>
    <w:p>
      <w:pPr>
        <w:spacing w:after="0" w:line="156" w:lineRule="exact"/>
        <w:rPr>
          <w:sz w:val="20"/>
          <w:szCs w:val="20"/>
          <w:color w:val="auto"/>
        </w:rPr>
      </w:pPr>
    </w:p>
    <w:p>
      <w:pPr>
        <w:ind w:right="20" w:firstLine="588"/>
        <w:spacing w:after="0" w:line="241" w:lineRule="auto"/>
        <w:rPr>
          <w:sz w:val="20"/>
          <w:szCs w:val="20"/>
          <w:color w:val="auto"/>
        </w:rPr>
      </w:pPr>
      <w:r>
        <w:rPr>
          <w:rFonts w:ascii="Times New Roman" w:cs="Times New Roman" w:eastAsia="Times New Roman" w:hAnsi="Times New Roman"/>
          <w:sz w:val="16"/>
          <w:szCs w:val="16"/>
          <w:color w:val="auto"/>
        </w:rPr>
        <w:t>Under regulatory guidance applicable to all banking organizations, incentive compensation policies must be consistent with safety and soundness principles. Under this guidance, financial institutions must review their compensation programs to ensure that they: (i) provide employees with incentives that appropriately balance risk and reward and that do not encourage imprudent risk, (ii) are compatible with effective controls and risk management, and (iii) are supported by strong corporate governance, including active and effective oversight by the banking organization’s board of directors. Monitoring methods and processes used by a banking organization should be commensurate with the size and complexity of the</w:t>
      </w:r>
    </w:p>
    <w:p>
      <w:pPr>
        <w:spacing w:after="0" w:line="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 w:name="page14"/>
    <w:bookmarkEnd w:id="13"/>
    <w:p>
      <w:pPr>
        <w:spacing w:after="0" w:line="137" w:lineRule="exact"/>
        <w:rPr>
          <w:sz w:val="20"/>
          <w:szCs w:val="20"/>
          <w:color w:val="auto"/>
        </w:rPr>
      </w:pPr>
    </w:p>
    <w:p>
      <w:pPr>
        <w:jc w:val="both"/>
        <w:ind w:right="420"/>
        <w:spacing w:after="0" w:line="331" w:lineRule="auto"/>
        <w:rPr>
          <w:sz w:val="20"/>
          <w:szCs w:val="20"/>
          <w:color w:val="auto"/>
        </w:rPr>
      </w:pPr>
      <w:r>
        <w:rPr>
          <w:rFonts w:ascii="Times New Roman" w:cs="Times New Roman" w:eastAsia="Times New Roman" w:hAnsi="Times New Roman"/>
          <w:sz w:val="14"/>
          <w:szCs w:val="14"/>
          <w:color w:val="auto"/>
        </w:rPr>
        <w:t>organization and its use of incentive compensation. During 2016, as required by the Dodd-Frank Act, the federal bank regulatory agencies and the SEC proposed revised rules on incentive-based payment arrangements at specified regulated entities having at least $1 billion of total assets (including the Company and Bank).</w:t>
      </w:r>
    </w:p>
    <w:p>
      <w:pPr>
        <w:spacing w:after="0" w:line="72" w:lineRule="exact"/>
        <w:rPr>
          <w:sz w:val="20"/>
          <w:szCs w:val="20"/>
          <w:color w:val="auto"/>
        </w:rPr>
      </w:pPr>
    </w:p>
    <w:p>
      <w:pPr>
        <w:ind w:right="200" w:firstLine="588"/>
        <w:spacing w:after="0" w:line="247" w:lineRule="auto"/>
        <w:rPr>
          <w:sz w:val="20"/>
          <w:szCs w:val="20"/>
          <w:color w:val="auto"/>
        </w:rPr>
      </w:pPr>
      <w:r>
        <w:rPr>
          <w:rFonts w:ascii="Times New Roman" w:cs="Times New Roman" w:eastAsia="Times New Roman" w:hAnsi="Times New Roman"/>
          <w:sz w:val="16"/>
          <w:szCs w:val="16"/>
          <w:color w:val="auto"/>
        </w:rPr>
        <w:t>In October 2022, the SEC adopted final rules implementing the incentive-based compensation recovery (clawback) provisions of the Dodd-Frank Act. In response to the final rules, the Nasdaq Stock Market implemented new clawback listing standards which are applicable to the Company. The Company has adopted a Nasdaq compliant clawback policy which is included as an exhibit with this Annual Report on Form 10-K.</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Cybersecurity and Data Breaches</w:t>
      </w:r>
    </w:p>
    <w:p>
      <w:pPr>
        <w:spacing w:after="0" w:line="156" w:lineRule="exact"/>
        <w:rPr>
          <w:sz w:val="20"/>
          <w:szCs w:val="20"/>
          <w:color w:val="auto"/>
        </w:rPr>
      </w:pPr>
    </w:p>
    <w:p>
      <w:pPr>
        <w:ind w:right="20" w:firstLine="588"/>
        <w:spacing w:after="0" w:line="237" w:lineRule="auto"/>
        <w:rPr>
          <w:sz w:val="20"/>
          <w:szCs w:val="20"/>
          <w:color w:val="auto"/>
        </w:rPr>
      </w:pPr>
      <w:r>
        <w:rPr>
          <w:rFonts w:ascii="Times New Roman" w:cs="Times New Roman" w:eastAsia="Times New Roman" w:hAnsi="Times New Roman"/>
          <w:sz w:val="16"/>
          <w:szCs w:val="16"/>
          <w:color w:val="auto"/>
        </w:rPr>
        <w:t>Federal regulators have issued multiple statements regarding cybersecurity and that financial institutions need to design multiple layers of security controls to establish lines of defense and to ensure that their risk management processes also address the risk posed by compromised customer credentials, including security measures to reliably authenticate customers accessing internet-based services of the financial institution. In addition, a financial institution’s management is expected to maintain sufficient business continuity planning processes to ensure the rapid recovery, resumption and maintenance of the institution’s operations in the event of a cyber-attack. A financial institution is also expected to develop appropriate processes to enable recovery of data and business operations and address rebuilding network capabilities and restoring data if the institution or one of its critical service providers fall victim to a cyber-attack. Effective May 1, 2022, banking organizations are required to notify their primary banking regulator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 operations that would result in material loss. If we fail to observe the regulatory guidance, we could be subject to various regulatory sanctions, including financial penalties.</w:t>
      </w:r>
    </w:p>
    <w:p>
      <w:pPr>
        <w:spacing w:after="0" w:line="140"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State regulators have also been increasingly active in implementing privacy and cybersecurity standards and regulations. Recently, a number of states, notably including California where we conduct substantially all our banking business, have adopted laws and/or regulations requiring certain financial institutions to implement cybersecurity programs and providing detailed requirements with respect to these programs, including data encryption requirements. Many such states have also implemented or modified their data breach notification and data privacy requirements, including California and New York. We expect this trend of state-level activity in those areas to continue, and we continue to monitor relevant legislative and regulatory developments in California and other states in which our customers are located or in which we conduct business.</w:t>
      </w:r>
    </w:p>
    <w:p>
      <w:pPr>
        <w:spacing w:after="0" w:line="137" w:lineRule="exact"/>
        <w:rPr>
          <w:sz w:val="20"/>
          <w:szCs w:val="20"/>
          <w:color w:val="auto"/>
        </w:rPr>
      </w:pPr>
    </w:p>
    <w:p>
      <w:pPr>
        <w:ind w:right="20" w:firstLine="588"/>
        <w:spacing w:after="0" w:line="237" w:lineRule="auto"/>
        <w:rPr>
          <w:sz w:val="20"/>
          <w:szCs w:val="20"/>
          <w:color w:val="auto"/>
        </w:rPr>
      </w:pPr>
      <w:r>
        <w:rPr>
          <w:rFonts w:ascii="Times New Roman" w:cs="Times New Roman" w:eastAsia="Times New Roman" w:hAnsi="Times New Roman"/>
          <w:sz w:val="16"/>
          <w:szCs w:val="16"/>
          <w:color w:val="auto"/>
        </w:rPr>
        <w:t>In the ordinary course of business, we rely on electronic communications and information systems, as well as certain third-party service providers’ electronic communication and information systems, to conduct our operations and to store sensitive data. We employ a layered, defensive approach that leverages people, processes and technology to manage and maintain cybersecurity controls. We employ a variety of preventative and detective tools to monitor, block, and provide alerts regarding suspicious activity, as well as to report on any suspected advanced persistent threats. We also seek to evaluate and monitor the cybersecurity policies and practices of key third-party service providers which utilize electronic and information systems that interface with our Bank’s systems, in the manner and to the extent required by applicable banking laws and regulations. Notwithstanding the strength of our defensive measures, the threat from cyber-attacks is severe, attacks are sophisticated and increasing in volume, and attackers respond rapidly to changes in defensive measures. While to date we have not detected a significant compromise, significant data loss or any material financial losses related to cybersecurity attacks, our systems and those of our customers and third-party service providers are under constant threat, and it is possible that we or they could experience a significant event in the future. Risks and exposures related to cybersecurity attacks are expected to remain high for the foreseeable future due to the rapidly evolving nature and sophistication of these threats, as well as due to the expanding use of Internet banking, mobile banking and other technology-based products and services by us and our customers. In addition, to the extent we experience any data breaches, we may become subject to governmental fines or enforcement actions and reputation risk as well as potential liability arising out of governmental or private litigation. See Item 1A. Risk Factors for a further discussion of risks related to cybersecurity and data breaches.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Operations and Consumer Compliance Laws</w:t>
      </w:r>
    </w:p>
    <w:p>
      <w:pPr>
        <w:spacing w:after="0" w:line="156" w:lineRule="exact"/>
        <w:rPr>
          <w:sz w:val="20"/>
          <w:szCs w:val="20"/>
          <w:color w:val="auto"/>
        </w:rPr>
      </w:pPr>
    </w:p>
    <w:p>
      <w:pPr>
        <w:ind w:right="20" w:firstLine="588"/>
        <w:spacing w:after="0" w:line="241" w:lineRule="auto"/>
        <w:rPr>
          <w:sz w:val="20"/>
          <w:szCs w:val="20"/>
          <w:color w:val="auto"/>
        </w:rPr>
      </w:pPr>
      <w:r>
        <w:rPr>
          <w:rFonts w:ascii="Times New Roman" w:cs="Times New Roman" w:eastAsia="Times New Roman" w:hAnsi="Times New Roman"/>
          <w:sz w:val="16"/>
          <w:szCs w:val="16"/>
          <w:color w:val="auto"/>
        </w:rPr>
        <w:t>The Bank must comply with numerous federal and state anti-money laundering and consumer protection statutes and implementing regulations, including the USA PATRIOT Act of 2001, the Bank Secrecy Act, the Foreign Account Tax Compliance Act, the CRA, the California Consumer Privacy Act, the California Privacy Rights Act, the Fair Debt Collection Practices Act, the Fair Credit Reporting Act, the Equal Credit Opportunity Act, the Truth in Lending Act, the Fair Housing Act, the Home Mortgage Disclosure Act, the Real Estate Settlement Procedures Act, the National Flood Insurance Act, the California Homeowner Bill of Rights and various federal and state privacy protection laws, including the Telephone</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4" w:name="page15"/>
    <w:bookmarkEnd w:id="14"/>
    <w:p>
      <w:pPr>
        <w:spacing w:after="0" w:line="13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Consumer Protection Act and the CAN-SPAM Act. Noncompliance with any of these laws could subject the Bank to compliance enforcement actions as well as lawsuits and could also result in administrative penalties, including, fines and reimbursements. The Bank and the Company are also subject to federal and state laws prohibiting unfair or fraudulent business practices, untrue or misleading advertising and unfair competition.</w:t>
      </w:r>
    </w:p>
    <w:p>
      <w:pPr>
        <w:spacing w:after="0" w:line="128" w:lineRule="exact"/>
        <w:rPr>
          <w:sz w:val="20"/>
          <w:szCs w:val="20"/>
          <w:color w:val="auto"/>
        </w:rPr>
      </w:pPr>
    </w:p>
    <w:p>
      <w:pPr>
        <w:ind w:right="460" w:firstLine="588"/>
        <w:spacing w:after="0" w:line="243" w:lineRule="auto"/>
        <w:rPr>
          <w:sz w:val="20"/>
          <w:szCs w:val="20"/>
          <w:color w:val="auto"/>
        </w:rPr>
      </w:pPr>
      <w:r>
        <w:rPr>
          <w:rFonts w:ascii="Times New Roman" w:cs="Times New Roman" w:eastAsia="Times New Roman" w:hAnsi="Times New Roman"/>
          <w:sz w:val="16"/>
          <w:szCs w:val="16"/>
          <w:color w:val="auto"/>
        </w:rPr>
        <w:t>These laws and regulations mandate certain disclosure and reporting requirements and regulate the manner in which financial institutions must deal with customers when taking deposits, making loans, servicing, collecting and foreclosure of loans, and providing other services. Failure to comply with these laws and regulations can subject the Bank and the Company to various penalties, including but not limited to enforcement actions, injunctions, fines or criminal penalties, punitive damages to consumers, and the loss of certain contractual rights.</w:t>
      </w:r>
    </w:p>
    <w:p>
      <w:pPr>
        <w:spacing w:after="0" w:line="131" w:lineRule="exact"/>
        <w:rPr>
          <w:sz w:val="20"/>
          <w:szCs w:val="20"/>
          <w:color w:val="auto"/>
        </w:rPr>
      </w:pPr>
    </w:p>
    <w:p>
      <w:pPr>
        <w:ind w:right="140" w:firstLine="588"/>
        <w:spacing w:after="0" w:line="241" w:lineRule="auto"/>
        <w:rPr>
          <w:sz w:val="20"/>
          <w:szCs w:val="20"/>
          <w:color w:val="auto"/>
        </w:rPr>
      </w:pPr>
      <w:r>
        <w:rPr>
          <w:rFonts w:ascii="Times New Roman" w:cs="Times New Roman" w:eastAsia="Times New Roman" w:hAnsi="Times New Roman"/>
          <w:sz w:val="16"/>
          <w:szCs w:val="16"/>
          <w:color w:val="auto"/>
        </w:rPr>
        <w:t>The Anti-Money Laundering Act of 2020 (“AMLA”), which amends the Bank Secrecy Act of 1970 (“BSA”), was enacted in January 2021. The AMLA is intended to be a comprehensive reform and modernization to U.S. bank secrecy and anti- money laundering laws. Among other things, it codifies a risk -based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w:t>
      </w:r>
    </w:p>
    <w:p>
      <w:pPr>
        <w:spacing w:after="0" w:line="133"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color w:val="auto"/>
        </w:rPr>
        <w:t>The CRA specifically directs the federal bank regulatory agencies, in examining insured depository institutions, to assess their record of helping to meet the credit needs of the entire communities in which the financial institution operates, including low and moderate income communities,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 On October 24, 2023, the OCC, FDIC, and FRB issued a final rule intended to modernize and strengthen regulations implementing the CRA. For banks with total assets in excess of $2 billion, which includes the Bank, the Bank’s CRA evaluation will be based on four tests: (i) retail lending; (ii) retail services and products (including digital delivery systems for banks with more than $ 10 billion in assets or banks which request consideration of such systems); (iii) community development (“CD”) financing; and (iv) CD services. Weighting of each test is applied to those banks (such as the bank) when regulators are evaluating CRA performance based on multiple tests. Alternatively, banks (including the Bank) have the option to be evaluated based on a regulator-approved strategic CRA plan. In addition, banks with total assets in excess of $2 billion are subject to revised and more comprehensive CRA -related data collection, reporting and maintenance requirements. Regulators will downgrade an institution’s CRA rating in the case of illegal or discriminatory credit practices. The Bank received an overall “Satisfactory” rating in its most recent FDIC CRA performance evaluation, which measures how financial institutions support their communities in the areas of lending, investment and service tests. The Bank received a “High Satisfactory” rating for both the lending and the investment tests and an “Outstanding” rating for the service test.</w:t>
      </w:r>
    </w:p>
    <w:p>
      <w:pPr>
        <w:spacing w:after="0" w:line="135" w:lineRule="exact"/>
        <w:rPr>
          <w:sz w:val="20"/>
          <w:szCs w:val="20"/>
          <w:color w:val="auto"/>
        </w:rPr>
      </w:pPr>
    </w:p>
    <w:p>
      <w:pPr>
        <w:ind w:right="60" w:firstLine="588"/>
        <w:spacing w:after="0" w:line="239" w:lineRule="auto"/>
        <w:rPr>
          <w:sz w:val="20"/>
          <w:szCs w:val="20"/>
          <w:color w:val="auto"/>
        </w:rPr>
      </w:pPr>
      <w:r>
        <w:rPr>
          <w:rFonts w:ascii="Times New Roman" w:cs="Times New Roman" w:eastAsia="Times New Roman" w:hAnsi="Times New Roman"/>
          <w:sz w:val="16"/>
          <w:szCs w:val="16"/>
          <w:color w:val="auto"/>
        </w:rPr>
        <w:t>The final CRA rule was intended to take effect on April 1, 2024 with staggered compliance dates, including compliance with the new tests, data collection requirements, with the requirement to define retail lending assessment areas, all of which become applicable on January 1, 2026 and revised data reporting requirements taking effect January 1, 2027. The final CRA rule was enjoined from implementation by a Texas federal court on April 1, 2024, extending the effective date of April 1, 2024, as well as all other implementation dates, on a day- for-day basis for each day that the injunction remains in effect. The decision of the district court is currently on appeal. We are continuing to evaluate the impact of these changes to bank and holding company regulations and their impact to our financial condition, results of operations, and/or liquidity, which cannot be predicted at this time.</w:t>
      </w:r>
    </w:p>
    <w:p>
      <w:pPr>
        <w:spacing w:after="0" w:line="137" w:lineRule="exact"/>
        <w:rPr>
          <w:sz w:val="20"/>
          <w:szCs w:val="20"/>
          <w:color w:val="auto"/>
        </w:rPr>
      </w:pPr>
    </w:p>
    <w:p>
      <w:pPr>
        <w:ind w:right="100" w:firstLine="588"/>
        <w:spacing w:after="0" w:line="280" w:lineRule="auto"/>
        <w:rPr>
          <w:sz w:val="20"/>
          <w:szCs w:val="20"/>
          <w:color w:val="auto"/>
        </w:rPr>
      </w:pPr>
      <w:r>
        <w:rPr>
          <w:rFonts w:ascii="Times New Roman" w:cs="Times New Roman" w:eastAsia="Times New Roman" w:hAnsi="Times New Roman"/>
          <w:sz w:val="14"/>
          <w:szCs w:val="14"/>
          <w:color w:val="auto"/>
        </w:rPr>
        <w:t>The Dodd-Frank Act provided for the creation of the Consumer Financial Protection Bureau (“CFPB”) as an independent entity within the Federal Reserve with broad rulemaking, supervisory and enforcement authority over consumer financial products and services, including deposit products, residential mortgages, home-equity loans and credit cards. The CFPB’s functions include investigating consumer complaints, conducting market research, rulemaking, and enforcing rules related to consumer financial products and services. CFPB regulations and guidance apply to all covered persons and banks with $10 billion or more in assets, such as the Bank. Accordingly, the Bank is subject to CFPB supervision, including examination by the CFPB. The administration of President Trump is anticipated to significantly limit the enforcement and rule-making authority of the CFPB, though the exact scope of such limitation cannot yet be fully determined.</w:t>
      </w:r>
    </w:p>
    <w:p>
      <w:pPr>
        <w:spacing w:after="0" w:line="109"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The CFPB previously finalized a number of significant rules which impact nearly every aspect of the lifecycle of a residential mortgage loan. These rules implement the Dodd-Frank Act amendments to the Equal Credit Opportunity Act, the Truth in Lending Act and the Real Estate Settlement Procedures Act. Among other things, the rules adopted by the CFPB require covered persons including banks making residential mortgage loans to: (i) develop and implement procedures to ensure compliance with an “ability-to-repay” test and identify whether a loan meets a new definition for a “qualified</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 w:name="page16"/>
    <w:bookmarkEnd w:id="15"/>
    <w:p>
      <w:pPr>
        <w:spacing w:after="0" w:line="137"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mortgage”, in which case a rebuttable presumption exists that the creditor extending the loan has satisfied the ability-to-repay test; (ii) implement new or revised disclosures, policies and procedures for originating and servicing mortgages including, but not limited to, pre-loan counseling, early intervention with delinquent borrowers and specific loss mitigation procedures for loans secured by a borrower’s principal residence; (iii) comply with additional restrictions on mortgage loan originator hiring and compensation; (iv) comply with new disclosure requirements and standards for appraisals and certain financial products; and (v) maintain escrow accounts for higher-priced mortgage loans for a longer period of time.</w:t>
      </w:r>
    </w:p>
    <w:p>
      <w:pPr>
        <w:spacing w:after="0" w:line="133" w:lineRule="exact"/>
        <w:rPr>
          <w:sz w:val="20"/>
          <w:szCs w:val="20"/>
          <w:color w:val="auto"/>
        </w:rPr>
      </w:pPr>
    </w:p>
    <w:p>
      <w:pPr>
        <w:ind w:right="40" w:firstLine="588"/>
        <w:spacing w:after="0" w:line="277" w:lineRule="auto"/>
        <w:rPr>
          <w:sz w:val="20"/>
          <w:szCs w:val="20"/>
          <w:color w:val="auto"/>
        </w:rPr>
      </w:pPr>
      <w:r>
        <w:rPr>
          <w:rFonts w:ascii="Times New Roman" w:cs="Times New Roman" w:eastAsia="Times New Roman" w:hAnsi="Times New Roman"/>
          <w:sz w:val="14"/>
          <w:szCs w:val="14"/>
          <w:color w:val="auto"/>
        </w:rPr>
        <w:t>The review of products and practices to prevent unfair, deceptive or abusive acts or practices (“UDAAP”)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violations of UDAAP and other legal requirements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CFPB and state regulation of financial products and potential enforcement actions could adversely affect the Bank’s business, financial condition or results of operations.</w:t>
      </w:r>
    </w:p>
    <w:p>
      <w:pPr>
        <w:spacing w:after="0" w:line="110"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The federal bank regulators have adopted rules limiting the ability of banks and other financial institutions to disclose non- public information about consumers to unaffiliated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34" w:lineRule="exact"/>
        <w:rPr>
          <w:sz w:val="20"/>
          <w:szCs w:val="20"/>
          <w:color w:val="auto"/>
        </w:rPr>
      </w:pPr>
    </w:p>
    <w:p>
      <w:pPr>
        <w:ind w:right="60" w:firstLine="588"/>
        <w:spacing w:after="0" w:line="239" w:lineRule="auto"/>
        <w:rPr>
          <w:sz w:val="20"/>
          <w:szCs w:val="20"/>
          <w:color w:val="auto"/>
        </w:rPr>
      </w:pPr>
      <w:r>
        <w:rPr>
          <w:rFonts w:ascii="Times New Roman" w:cs="Times New Roman" w:eastAsia="Times New Roman" w:hAnsi="Times New Roman"/>
          <w:sz w:val="16"/>
          <w:szCs w:val="16"/>
          <w:color w:val="auto"/>
        </w:rPr>
        <w:t>In California, consumer privacy rights have been further bolstered by the enactment of the California Consumer Privacy Act (“CCPA”) and the California Privacy Rights Act (“CPRA”). The CCPA and CPRA create new consumer rights, impose additional obligations on businesses that collect personal information from California consumers, and create a new enforcement agency called the California Privacy Protection Agency. In particular, The CCPA and CPRA introduces four new consumer rights, including (1) the right to correction, meaning that users can request to have their personal information corrected; (2) the right to opt-out of automated decision making, meaning that California residents can say ‘no’ to their personal information being used in profiling for behavioral advertisement online; (3) the right to know about automated decision making; and (4) the right to limit use of sensitive personal information. These two statutes also significantly expand the types of consumer data subject to privacy restrictions and increase the potential penalties for any violations.</w:t>
      </w:r>
    </w:p>
    <w:p>
      <w:pPr>
        <w:spacing w:after="0" w:line="134" w:lineRule="exact"/>
        <w:rPr>
          <w:sz w:val="20"/>
          <w:szCs w:val="20"/>
          <w:color w:val="auto"/>
        </w:rPr>
      </w:pPr>
    </w:p>
    <w:p>
      <w:pPr>
        <w:ind w:right="80" w:firstLine="588"/>
        <w:spacing w:after="0" w:line="331" w:lineRule="auto"/>
        <w:rPr>
          <w:sz w:val="20"/>
          <w:szCs w:val="20"/>
          <w:color w:val="auto"/>
        </w:rPr>
      </w:pPr>
      <w:r>
        <w:rPr>
          <w:rFonts w:ascii="Times New Roman" w:cs="Times New Roman" w:eastAsia="Times New Roman" w:hAnsi="Times New Roman"/>
          <w:sz w:val="14"/>
          <w:szCs w:val="14"/>
          <w:color w:val="auto"/>
        </w:rPr>
        <w:t>Under the Durbin Amendment to the Dodd-Frank Act, the Federal Reserve adopted rules establishing standards for assessing whether the interchange fees that may be charged with respect to certain electronic debit transactions are “reasonable and proportional” to the costs incurred by issuers for processing such transactions.</w:t>
      </w:r>
    </w:p>
    <w:p>
      <w:pPr>
        <w:spacing w:after="0" w:line="72" w:lineRule="exact"/>
        <w:rPr>
          <w:sz w:val="20"/>
          <w:szCs w:val="20"/>
          <w:color w:val="auto"/>
        </w:rPr>
      </w:pPr>
    </w:p>
    <w:p>
      <w:pPr>
        <w:ind w:right="80" w:firstLine="588"/>
        <w:spacing w:after="0" w:line="278" w:lineRule="auto"/>
        <w:rPr>
          <w:sz w:val="20"/>
          <w:szCs w:val="20"/>
          <w:color w:val="auto"/>
        </w:rPr>
      </w:pPr>
      <w:r>
        <w:rPr>
          <w:rFonts w:ascii="Times New Roman" w:cs="Times New Roman" w:eastAsia="Times New Roman" w:hAnsi="Times New Roman"/>
          <w:sz w:val="14"/>
          <w:szCs w:val="14"/>
          <w:color w:val="auto"/>
        </w:rPr>
        <w:t>Interchange fees, or “swipe” fees, are charges that merchants pay to us and other card-issuing banks for processing electronic payment transactions. Under the final rules, the maximum permissible interchange fee is equal to no more than 21 cents plus 5 basis points of the transaction value for many types of debit interchange transactions. In October 2023, the Federal Reserve issued a proposal under which the maximum permissible interchange fee for an electronic debit transaction would be the sum of 14.4 cents per transaction and 4 basis points multiplied by the value of the transaction. Furthermore, the fraud -prevention adjustment would increase from a maximum of 1 cent to 1.3 cents per debit card transaction. The proposal would adopt an approach for future adjustments to the interchange fee cap, which would occur every other year based on issuer cost data gathered by the Federal Reserve from large debit card issuers. The comment period for this proposal ended in May 2024. The extent to which any such proposed changes in permissible interchange fees will impact our future revenues is currently uncertain.</w:t>
      </w:r>
    </w:p>
    <w:p>
      <w:pPr>
        <w:spacing w:after="0" w:line="111" w:lineRule="exact"/>
        <w:rPr>
          <w:sz w:val="20"/>
          <w:szCs w:val="20"/>
          <w:color w:val="auto"/>
        </w:rPr>
      </w:pPr>
    </w:p>
    <w:p>
      <w:pPr>
        <w:jc w:val="both"/>
        <w:ind w:firstLine="588"/>
        <w:spacing w:after="0" w:line="247" w:lineRule="auto"/>
        <w:rPr>
          <w:sz w:val="20"/>
          <w:szCs w:val="20"/>
          <w:color w:val="auto"/>
        </w:rPr>
      </w:pPr>
      <w:r>
        <w:rPr>
          <w:rFonts w:ascii="Times New Roman" w:cs="Times New Roman" w:eastAsia="Times New Roman" w:hAnsi="Times New Roman"/>
          <w:sz w:val="16"/>
          <w:szCs w:val="16"/>
          <w:color w:val="auto"/>
        </w:rPr>
        <w:t>The Federal Reserve also adopted a rule to allow a debit card issuer to recover one cent per transaction for fraud prevention purposes if the issuer complies with certain fraud-related requirements required by the Federal Reserve. The Federal Reserve also has rules governing routing and exclusivity that require issuers to offer two unaffiliated networks for routing transactions on each debit or prepaid product.</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 w:name="page17"/>
    <w:bookmarkEnd w:id="16"/>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Commercial Real Estate Concentration Limits</w:t>
      </w:r>
    </w:p>
    <w:p>
      <w:pPr>
        <w:spacing w:after="0" w:line="156" w:lineRule="exact"/>
        <w:rPr>
          <w:sz w:val="20"/>
          <w:szCs w:val="20"/>
          <w:color w:val="auto"/>
        </w:rPr>
      </w:pPr>
    </w:p>
    <w:p>
      <w:pPr>
        <w:ind w:right="20" w:firstLine="588"/>
        <w:spacing w:after="0" w:line="273" w:lineRule="auto"/>
        <w:rPr>
          <w:sz w:val="20"/>
          <w:szCs w:val="20"/>
          <w:color w:val="auto"/>
        </w:rPr>
      </w:pPr>
      <w:r>
        <w:rPr>
          <w:rFonts w:ascii="Times New Roman" w:cs="Times New Roman" w:eastAsia="Times New Roman" w:hAnsi="Times New Roman"/>
          <w:sz w:val="14"/>
          <w:szCs w:val="14"/>
          <w:color w:val="auto"/>
        </w:rPr>
        <w:t>In December 2006, the federal banking regulators issued guidance entitled “Concentrations in Commercial Real Estate Lending, Sound Risk Management Practices” to address increased concentrations in commercial real estate, or “CRE”, loans. In addition, in December 2015, the federal bank agencies issued additional guidance entitled “Statement on Prudent Risk Management for Commercial Real Estate Lending.” Together, these guidelines describe the criteria the agencies will use as indicators to identify institutions potentially exposed to CRE concentration risk. An institution that has (i) experienced rapid growth in CRE lending, (ii) notable exposure to a specific type of CRE, (iii) total reported loans for construction, land development, and other land representing 100% or more of the institution’s capital, or</w:t>
      </w:r>
    </w:p>
    <w:p>
      <w:pPr>
        <w:spacing w:after="0" w:line="3" w:lineRule="exact"/>
        <w:rPr>
          <w:sz w:val="20"/>
          <w:szCs w:val="20"/>
          <w:color w:val="auto"/>
        </w:rPr>
      </w:pPr>
    </w:p>
    <w:p>
      <w:pPr>
        <w:jc w:val="both"/>
        <w:ind w:right="100" w:firstLine="6"/>
        <w:spacing w:after="0" w:line="237" w:lineRule="auto"/>
        <w:tabs>
          <w:tab w:leader="none" w:pos="2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CRE loans (which excludes owner-occupied CRE loans) representing 300% or more of the institution’s capital, and the outstanding balance of the institutions CRE portfolio has increased by 50% or more in the prior 36 months, may be identified for further supervisory analysis of the level and nature of its CRE concentration risk. As of December 31, 2024, the Bank’s CRE loan concentration based on total outstanding loans is 237% of risk-based capital.</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Office of Foreign Assets Control Regulation</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The U.S. Treasury Department’s Office of Foreign Assets Control (“OFAC”), administers and enforces economic and trade sanctions against targeted foreign countries and regimes, under authority of various laws, including designated foreign countries, nationals and others. OFAC publishes lists of specially designated targets and countries. We are responsible for, among other things, blocking accounts of, and transactions with, such targets and countries, prohibiting unlicensed trade and financial transactions with them and reporting blocked transactions after their occurrence. Failure to comply with these sanctions could have serious financial, legal and reputational consequences,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violating these obligations.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Changes in the Federal, State, or Local Tax Laws</w:t>
      </w:r>
    </w:p>
    <w:p>
      <w:pPr>
        <w:spacing w:after="0" w:line="156" w:lineRule="exact"/>
        <w:rPr>
          <w:sz w:val="20"/>
          <w:szCs w:val="20"/>
          <w:color w:val="auto"/>
        </w:rPr>
      </w:pPr>
    </w:p>
    <w:p>
      <w:pPr>
        <w:ind w:right="160" w:firstLine="588"/>
        <w:spacing w:after="0" w:line="241" w:lineRule="auto"/>
        <w:rPr>
          <w:sz w:val="20"/>
          <w:szCs w:val="20"/>
          <w:color w:val="auto"/>
        </w:rPr>
      </w:pPr>
      <w:r>
        <w:rPr>
          <w:rFonts w:ascii="Times New Roman" w:cs="Times New Roman" w:eastAsia="Times New Roman" w:hAnsi="Times New Roman"/>
          <w:sz w:val="16"/>
          <w:szCs w:val="16"/>
          <w:color w:val="auto"/>
        </w:rPr>
        <w:t>We are subject to changes in federal and applicable state tax laws and regulations that may impact our effective tax rates. Changes in these tax laws may be retroactive to previous periods and as a result could negatively impact our current and future financial performance. For example, the Tax Cuts and Jobs Act of 2017 resulted in a reduction of our federal tax rate from a minimum of 35% in 2017 to 21% in 2018, which had a favorable impact on our earnings. Conversely, this legislation also enacted limitations on certain deductions, including the deduction of FDIC deposit insurance premiums, which partially offset the expected increase in net earnings from the lower tax rate.</w:t>
      </w:r>
    </w:p>
    <w:p>
      <w:pPr>
        <w:spacing w:after="0" w:line="133" w:lineRule="exact"/>
        <w:rPr>
          <w:sz w:val="20"/>
          <w:szCs w:val="20"/>
          <w:color w:val="auto"/>
        </w:rPr>
      </w:pPr>
    </w:p>
    <w:p>
      <w:pPr>
        <w:ind w:right="20" w:firstLine="588"/>
        <w:spacing w:after="0" w:line="259" w:lineRule="auto"/>
        <w:rPr>
          <w:sz w:val="20"/>
          <w:szCs w:val="20"/>
          <w:color w:val="auto"/>
        </w:rPr>
      </w:pPr>
      <w:r>
        <w:rPr>
          <w:rFonts w:ascii="Times New Roman" w:cs="Times New Roman" w:eastAsia="Times New Roman" w:hAnsi="Times New Roman"/>
          <w:sz w:val="16"/>
          <w:szCs w:val="16"/>
          <w:color w:val="auto"/>
        </w:rPr>
        <w:t>On August 16, 2022, the Inflation Reduction Act of 2022 (the “IRA”) was enacted into law. The IRA imposes a non-deductible 1% excise tax on the aggregate fair market value of stock repurchased by certain public companies, including CVB Financial Corp., occurring after December 31, 2022.</w:t>
      </w:r>
    </w:p>
    <w:p>
      <w:pPr>
        <w:spacing w:after="0" w:line="117" w:lineRule="exact"/>
        <w:rPr>
          <w:sz w:val="20"/>
          <w:szCs w:val="20"/>
          <w:color w:val="auto"/>
        </w:rPr>
      </w:pPr>
    </w:p>
    <w:p>
      <w:pPr>
        <w:ind w:firstLine="588"/>
        <w:spacing w:after="0" w:line="262" w:lineRule="auto"/>
        <w:rPr>
          <w:sz w:val="20"/>
          <w:szCs w:val="20"/>
          <w:color w:val="auto"/>
        </w:rPr>
      </w:pPr>
      <w:r>
        <w:rPr>
          <w:rFonts w:ascii="Times New Roman" w:cs="Times New Roman" w:eastAsia="Times New Roman" w:hAnsi="Times New Roman"/>
          <w:sz w:val="16"/>
          <w:szCs w:val="16"/>
          <w:color w:val="auto"/>
        </w:rPr>
        <w:t xml:space="preserve">The foregoing description of the impact of changes in federal and applicable state tax laws on us should be read in conjunction with Note 9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 for more information.</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Future Legislation and Regulation</w:t>
      </w:r>
    </w:p>
    <w:p>
      <w:pPr>
        <w:spacing w:after="0" w:line="156" w:lineRule="exact"/>
        <w:rPr>
          <w:sz w:val="20"/>
          <w:szCs w:val="20"/>
          <w:color w:val="auto"/>
        </w:rPr>
      </w:pPr>
    </w:p>
    <w:p>
      <w:pPr>
        <w:ind w:right="140" w:firstLine="588"/>
        <w:spacing w:after="0" w:line="278" w:lineRule="auto"/>
        <w:rPr>
          <w:sz w:val="20"/>
          <w:szCs w:val="20"/>
          <w:color w:val="auto"/>
        </w:rPr>
      </w:pPr>
      <w:r>
        <w:rPr>
          <w:rFonts w:ascii="Times New Roman" w:cs="Times New Roman" w:eastAsia="Times New Roman" w:hAnsi="Times New Roman"/>
          <w:sz w:val="14"/>
          <w:szCs w:val="14"/>
          <w:color w:val="auto"/>
        </w:rPr>
        <w:t>Congress may enact, modify or repeal legislation from time to time that affects the regulation of the financial services industry, and state legislatures may enact, modify or repeal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The substance or impact of pending or future legislation or regulation, or the application thereof, cannot be predicted, although enactment of proposed legislation (or modification or repeal of existing legislation) could impact the regulatory structure under which the Company and Bank operate and may significantly increase our costs, impede the efficiency of our internal business processes, require the Bank to increase its regulatory capital and modify its business strategy, and limit its ability to pursue business opportunities in an efficient manner. The Company’s business, financial condition, results of operations or prospects may be adversely affected, perhaps materially.</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Available Information</w:t>
      </w:r>
    </w:p>
    <w:p>
      <w:pPr>
        <w:spacing w:after="0" w:line="156" w:lineRule="exact"/>
        <w:rPr>
          <w:sz w:val="20"/>
          <w:szCs w:val="20"/>
          <w:color w:val="auto"/>
        </w:rPr>
      </w:pPr>
    </w:p>
    <w:p>
      <w:pPr>
        <w:ind w:right="120" w:firstLine="588"/>
        <w:spacing w:after="0" w:line="247" w:lineRule="auto"/>
        <w:rPr>
          <w:sz w:val="20"/>
          <w:szCs w:val="20"/>
          <w:color w:val="auto"/>
        </w:rPr>
      </w:pPr>
      <w:r>
        <w:rPr>
          <w:rFonts w:ascii="Times New Roman" w:cs="Times New Roman" w:eastAsia="Times New Roman" w:hAnsi="Times New Roman"/>
          <w:sz w:val="16"/>
          <w:szCs w:val="16"/>
          <w:color w:val="auto"/>
        </w:rPr>
        <w:t>We file reports with the SEC including our proxy statements, annual reports on Form 10-K, quarterly reports on Form 10-Q and current reports on Form 8-K. The SEC maintains a website that contains these reports, proxy and information statements and other information. The address of the site is http://www.sec.gov. The Company also maintains an Internet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7" w:name="page18"/>
    <w:bookmarkEnd w:id="17"/>
    <w:p>
      <w:pPr>
        <w:spacing w:after="0" w:line="13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website at http://www.cbbank.com. We make available, free of charge through our website, our Proxy Statement, Annual Report on Form 10-K, Quarterly Reports on Form 10-Q, and Current Reports on Form 8-K, and any amendments thereto, as soon as reasonably practicable after we file such reports with the SEC. None of the information contained in or hyperlinked from our website is incorporated into this Form 10-K.</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 of the Company</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sets forth certain information regarding our executive officers, their positions and their ages.</w:t>
      </w:r>
    </w:p>
    <w:p>
      <w:pPr>
        <w:spacing w:after="0" w:line="19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3"/>
                <w:szCs w:val="13"/>
                <w:color w:val="auto"/>
              </w:rPr>
            </w:pPr>
          </w:p>
        </w:tc>
        <w:tc>
          <w:tcPr>
            <w:tcW w:w="740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Age</w:t>
            </w:r>
          </w:p>
        </w:tc>
      </w:tr>
      <w:tr>
        <w:trPr>
          <w:trHeight w:val="351"/>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A. Brager</w:t>
            </w:r>
          </w:p>
        </w:tc>
        <w:tc>
          <w:tcPr>
            <w:tcW w:w="12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 of the Company and the Bank</w:t>
            </w:r>
          </w:p>
        </w:tc>
        <w:tc>
          <w:tcPr>
            <w:tcW w:w="9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87"/>
              </w:rPr>
              <w:t>57</w:t>
            </w:r>
          </w:p>
        </w:tc>
      </w:tr>
      <w:tr>
        <w:trPr>
          <w:trHeight w:val="180"/>
        </w:trPr>
        <w:tc>
          <w:tcPr>
            <w:tcW w:w="2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 Allen Nicholson</w:t>
            </w:r>
          </w:p>
        </w:tc>
        <w:tc>
          <w:tcPr>
            <w:tcW w:w="120" w:type="dxa"/>
            <w:vAlign w:val="bottom"/>
          </w:tcPr>
          <w:p>
            <w:pPr>
              <w:spacing w:after="0"/>
              <w:rPr>
                <w:sz w:val="15"/>
                <w:szCs w:val="15"/>
                <w:color w:val="auto"/>
              </w:rPr>
            </w:pPr>
          </w:p>
        </w:tc>
        <w:tc>
          <w:tcPr>
            <w:tcW w:w="74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Chief Financial Officer of the Company and Executive Vice President and Chief Financial Officer of the Bank</w:t>
            </w:r>
          </w:p>
        </w:tc>
        <w:tc>
          <w:tcPr>
            <w:tcW w:w="920" w:type="dxa"/>
            <w:vAlign w:val="bottom"/>
            <w:gridSpan w:val="2"/>
          </w:tcPr>
          <w:p>
            <w:pPr>
              <w:jc w:val="center"/>
              <w:ind w:left="222"/>
              <w:spacing w:after="0" w:line="180" w:lineRule="exact"/>
              <w:rPr>
                <w:sz w:val="20"/>
                <w:szCs w:val="20"/>
                <w:color w:val="auto"/>
              </w:rPr>
            </w:pPr>
            <w:r>
              <w:rPr>
                <w:rFonts w:ascii="Times New Roman" w:cs="Times New Roman" w:eastAsia="Times New Roman" w:hAnsi="Times New Roman"/>
                <w:sz w:val="16"/>
                <w:szCs w:val="16"/>
                <w:color w:val="auto"/>
                <w:w w:val="87"/>
              </w:rPr>
              <w:t>57</w:t>
            </w:r>
          </w:p>
        </w:tc>
      </w:tr>
      <w:tr>
        <w:trPr>
          <w:trHeight w:val="180"/>
        </w:trPr>
        <w:tc>
          <w:tcPr>
            <w:tcW w:w="2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David F. Farnsworth</w:t>
            </w:r>
          </w:p>
        </w:tc>
        <w:tc>
          <w:tcPr>
            <w:tcW w:w="120" w:type="dxa"/>
            <w:vAlign w:val="bottom"/>
          </w:tcPr>
          <w:p>
            <w:pPr>
              <w:spacing w:after="0"/>
              <w:rPr>
                <w:sz w:val="15"/>
                <w:szCs w:val="15"/>
                <w:color w:val="auto"/>
              </w:rPr>
            </w:pPr>
          </w:p>
        </w:tc>
        <w:tc>
          <w:tcPr>
            <w:tcW w:w="74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Executive Vice President and Chief Credit Officer of the Bank</w:t>
            </w:r>
          </w:p>
        </w:tc>
        <w:tc>
          <w:tcPr>
            <w:tcW w:w="920" w:type="dxa"/>
            <w:vAlign w:val="bottom"/>
            <w:gridSpan w:val="2"/>
          </w:tcPr>
          <w:p>
            <w:pPr>
              <w:jc w:val="center"/>
              <w:ind w:left="222"/>
              <w:spacing w:after="0" w:line="180" w:lineRule="exact"/>
              <w:rPr>
                <w:sz w:val="20"/>
                <w:szCs w:val="20"/>
                <w:color w:val="auto"/>
              </w:rPr>
            </w:pPr>
            <w:r>
              <w:rPr>
                <w:rFonts w:ascii="Times New Roman" w:cs="Times New Roman" w:eastAsia="Times New Roman" w:hAnsi="Times New Roman"/>
                <w:sz w:val="16"/>
                <w:szCs w:val="16"/>
                <w:color w:val="auto"/>
                <w:w w:val="87"/>
              </w:rPr>
              <w:t>68</w:t>
            </w:r>
          </w:p>
        </w:tc>
      </w:tr>
      <w:tr>
        <w:trPr>
          <w:trHeight w:val="180"/>
        </w:trPr>
        <w:tc>
          <w:tcPr>
            <w:tcW w:w="2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David C. Harvey</w:t>
            </w:r>
          </w:p>
        </w:tc>
        <w:tc>
          <w:tcPr>
            <w:tcW w:w="120" w:type="dxa"/>
            <w:vAlign w:val="bottom"/>
          </w:tcPr>
          <w:p>
            <w:pPr>
              <w:spacing w:after="0"/>
              <w:rPr>
                <w:sz w:val="15"/>
                <w:szCs w:val="15"/>
                <w:color w:val="auto"/>
              </w:rPr>
            </w:pPr>
          </w:p>
        </w:tc>
        <w:tc>
          <w:tcPr>
            <w:tcW w:w="74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Executive Vice President and Chief Operating Officer of the Bank</w:t>
            </w:r>
          </w:p>
        </w:tc>
        <w:tc>
          <w:tcPr>
            <w:tcW w:w="920" w:type="dxa"/>
            <w:vAlign w:val="bottom"/>
            <w:gridSpan w:val="2"/>
          </w:tcPr>
          <w:p>
            <w:pPr>
              <w:jc w:val="center"/>
              <w:ind w:left="222"/>
              <w:spacing w:after="0" w:line="180" w:lineRule="exact"/>
              <w:rPr>
                <w:sz w:val="20"/>
                <w:szCs w:val="20"/>
                <w:color w:val="auto"/>
              </w:rPr>
            </w:pPr>
            <w:r>
              <w:rPr>
                <w:rFonts w:ascii="Times New Roman" w:cs="Times New Roman" w:eastAsia="Times New Roman" w:hAnsi="Times New Roman"/>
                <w:sz w:val="16"/>
                <w:szCs w:val="16"/>
                <w:color w:val="auto"/>
                <w:w w:val="87"/>
              </w:rPr>
              <w:t>57</w:t>
            </w:r>
          </w:p>
        </w:tc>
      </w:tr>
      <w:tr>
        <w:trPr>
          <w:trHeight w:val="180"/>
        </w:trPr>
        <w:tc>
          <w:tcPr>
            <w:tcW w:w="2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Richard H. Wohl</w:t>
            </w:r>
          </w:p>
        </w:tc>
        <w:tc>
          <w:tcPr>
            <w:tcW w:w="120" w:type="dxa"/>
            <w:vAlign w:val="bottom"/>
          </w:tcPr>
          <w:p>
            <w:pPr>
              <w:spacing w:after="0"/>
              <w:rPr>
                <w:sz w:val="15"/>
                <w:szCs w:val="15"/>
                <w:color w:val="auto"/>
              </w:rPr>
            </w:pPr>
          </w:p>
        </w:tc>
        <w:tc>
          <w:tcPr>
            <w:tcW w:w="74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Executive Vice President and General Counsel</w:t>
            </w:r>
          </w:p>
        </w:tc>
        <w:tc>
          <w:tcPr>
            <w:tcW w:w="920" w:type="dxa"/>
            <w:vAlign w:val="bottom"/>
            <w:gridSpan w:val="2"/>
          </w:tcPr>
          <w:p>
            <w:pPr>
              <w:jc w:val="center"/>
              <w:ind w:left="222"/>
              <w:spacing w:after="0" w:line="180" w:lineRule="exact"/>
              <w:rPr>
                <w:sz w:val="20"/>
                <w:szCs w:val="20"/>
                <w:color w:val="auto"/>
              </w:rPr>
            </w:pPr>
            <w:r>
              <w:rPr>
                <w:rFonts w:ascii="Times New Roman" w:cs="Times New Roman" w:eastAsia="Times New Roman" w:hAnsi="Times New Roman"/>
                <w:sz w:val="16"/>
                <w:szCs w:val="16"/>
                <w:color w:val="auto"/>
                <w:w w:val="87"/>
              </w:rPr>
              <w:t>66</w:t>
            </w:r>
          </w:p>
        </w:tc>
      </w:tr>
      <w:tr>
        <w:trPr>
          <w:trHeight w:val="20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Yamynn DeAngelis</w:t>
            </w:r>
          </w:p>
        </w:tc>
        <w:tc>
          <w:tcPr>
            <w:tcW w:w="120" w:type="dxa"/>
            <w:vAlign w:val="bottom"/>
          </w:tcPr>
          <w:p>
            <w:pPr>
              <w:spacing w:after="0"/>
              <w:rPr>
                <w:sz w:val="17"/>
                <w:szCs w:val="17"/>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Risk Officer</w:t>
            </w:r>
          </w:p>
        </w:tc>
        <w:tc>
          <w:tcPr>
            <w:tcW w:w="9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87"/>
              </w:rPr>
              <w:t>68</w:t>
            </w:r>
          </w:p>
        </w:tc>
      </w:tr>
    </w:tbl>
    <w:p>
      <w:pPr>
        <w:spacing w:after="0" w:line="131" w:lineRule="exact"/>
        <w:rPr>
          <w:sz w:val="20"/>
          <w:szCs w:val="20"/>
          <w:color w:val="auto"/>
        </w:rPr>
      </w:pPr>
    </w:p>
    <w:p>
      <w:pPr>
        <w:ind w:firstLine="588"/>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Mr. Brager </w:t>
      </w:r>
      <w:r>
        <w:rPr>
          <w:rFonts w:ascii="Times New Roman" w:cs="Times New Roman" w:eastAsia="Times New Roman" w:hAnsi="Times New Roman"/>
          <w:sz w:val="16"/>
          <w:szCs w:val="16"/>
          <w:color w:val="auto"/>
        </w:rPr>
        <w:t>was appointed Chief Executive Officer of the Company and the Bank on March 16, 2020. Effective November 19, 2021, Mr. Brager was also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named President of the Company and the Bank. Mr. Brager also serves on the Board of Directors of the Company and the Bank. Mr. Brager assumed the position of Executive Vice President and Sales Division Manager of the Bank on November 22, 2010. From 2007 to 2010, he served as Senior Vice President and Regional Manager of the Central Valley Region for the Bank. From 2003 to 2007, he served as Senior Vice President and Manager of the Fresno Business Financial Center for the Bank. From 1997 to 2003, Mr. Brager held management positions with Westamerica Bank.</w:t>
      </w:r>
    </w:p>
    <w:p>
      <w:pPr>
        <w:spacing w:after="0" w:line="133" w:lineRule="exact"/>
        <w:rPr>
          <w:sz w:val="20"/>
          <w:szCs w:val="20"/>
          <w:color w:val="auto"/>
        </w:rPr>
      </w:pPr>
    </w:p>
    <w:p>
      <w:pPr>
        <w:ind w:right="40" w:firstLine="58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Mr. Nicholson </w:t>
      </w:r>
      <w:r>
        <w:rPr>
          <w:rFonts w:ascii="Times New Roman" w:cs="Times New Roman" w:eastAsia="Times New Roman" w:hAnsi="Times New Roman"/>
          <w:sz w:val="16"/>
          <w:szCs w:val="16"/>
          <w:color w:val="auto"/>
        </w:rPr>
        <w:t>was appointed Chief Financial Officer of the Company and Executive Vice President and Chief Financial Officer of the Bank on May 4, 2016.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Previously, Mr. Nicholson served as Executive Vice President and Chief Financial Officer of Pacific Premier Bank and its holding company, Pacific Premier Bancorp Inc. from June of 2015 to May of 2016, and from 2008 to 2014, Mr. Nicholson was Chief Financial Officer of 1st Enterprise Bank. From 2005 to 2008, he was the Chief Financial Officer of Mellon First Business Bank.</w:t>
      </w:r>
    </w:p>
    <w:p>
      <w:pPr>
        <w:spacing w:after="0" w:line="128" w:lineRule="exact"/>
        <w:rPr>
          <w:sz w:val="20"/>
          <w:szCs w:val="20"/>
          <w:color w:val="auto"/>
        </w:rPr>
      </w:pPr>
    </w:p>
    <w:p>
      <w:pPr>
        <w:jc w:val="both"/>
        <w:ind w:right="80" w:firstLine="60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Mr. Farnsworth </w:t>
      </w:r>
      <w:r>
        <w:rPr>
          <w:rFonts w:ascii="Times New Roman" w:cs="Times New Roman" w:eastAsia="Times New Roman" w:hAnsi="Times New Roman"/>
          <w:sz w:val="16"/>
          <w:szCs w:val="16"/>
          <w:color w:val="auto"/>
        </w:rPr>
        <w:t>was appointed Executive Vice President and Chief Credit Officer of the Bank on July 18, 2016. Prior to his appointment, Mr. Farnsworth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Vice President, Global Risk Management, and National CRE Risk Executive at BBVA Compass. Previously, Mr. Farnsworth held senior credit management positions with US Bank and AmSouth.</w:t>
      </w:r>
    </w:p>
    <w:p>
      <w:pPr>
        <w:spacing w:after="0" w:line="126" w:lineRule="exact"/>
        <w:rPr>
          <w:sz w:val="20"/>
          <w:szCs w:val="20"/>
          <w:color w:val="auto"/>
        </w:rPr>
      </w:pPr>
    </w:p>
    <w:p>
      <w:pPr>
        <w:ind w:right="140" w:firstLine="588"/>
        <w:spacing w:after="0" w:line="301" w:lineRule="auto"/>
        <w:rPr>
          <w:sz w:val="20"/>
          <w:szCs w:val="20"/>
          <w:color w:val="auto"/>
        </w:rPr>
      </w:pPr>
      <w:r>
        <w:rPr>
          <w:rFonts w:ascii="Times New Roman" w:cs="Times New Roman" w:eastAsia="Times New Roman" w:hAnsi="Times New Roman"/>
          <w:sz w:val="14"/>
          <w:szCs w:val="14"/>
          <w:i w:val="1"/>
          <w:iCs w:val="1"/>
          <w:color w:val="auto"/>
        </w:rPr>
        <w:t xml:space="preserve">Mr. Harvey </w:t>
      </w:r>
      <w:r>
        <w:rPr>
          <w:rFonts w:ascii="Times New Roman" w:cs="Times New Roman" w:eastAsia="Times New Roman" w:hAnsi="Times New Roman"/>
          <w:sz w:val="14"/>
          <w:szCs w:val="14"/>
          <w:color w:val="auto"/>
        </w:rPr>
        <w:t>was appointed Executive Vice President and Chief Operating Officer of the Bank on February 23, 2022. He previously assumed the position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Vice President and Chief Operations Officer of the Bank on December 31, 2009. From 2008 to 2009 he served as Executive Vice President and Commercial and Treasury Services Manager at Bank of the West. From 2000 to 2008, he served as Senior Vice President and Operations Manager at Bank of the West.</w:t>
      </w:r>
    </w:p>
    <w:p>
      <w:pPr>
        <w:spacing w:after="0" w:line="90" w:lineRule="exact"/>
        <w:rPr>
          <w:sz w:val="20"/>
          <w:szCs w:val="20"/>
          <w:color w:val="auto"/>
        </w:rPr>
      </w:pPr>
    </w:p>
    <w:p>
      <w:pPr>
        <w:ind w:right="200" w:firstLine="58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Mr. Wohl </w:t>
      </w:r>
      <w:r>
        <w:rPr>
          <w:rFonts w:ascii="Times New Roman" w:cs="Times New Roman" w:eastAsia="Times New Roman" w:hAnsi="Times New Roman"/>
          <w:sz w:val="16"/>
          <w:szCs w:val="16"/>
          <w:color w:val="auto"/>
        </w:rPr>
        <w:t>was initially appointed Executive Vice President and General Counsel of the Company and the Bank on October 11, 2011, and he rejoined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and the Bank in the same position on July 10, 2017 after a one-year hiatus at another financial institution. Prior to his initial appointment in 2011, Mr. Wohl served in senior business and legal roles at Indymac Bank, the law firm of Morrison &amp; Foerster, and the U.S. Department of State.</w:t>
      </w:r>
    </w:p>
    <w:p>
      <w:pPr>
        <w:spacing w:after="0" w:line="126" w:lineRule="exact"/>
        <w:rPr>
          <w:sz w:val="20"/>
          <w:szCs w:val="20"/>
          <w:color w:val="auto"/>
        </w:rPr>
      </w:pPr>
    </w:p>
    <w:p>
      <w:pPr>
        <w:jc w:val="both"/>
        <w:ind w:right="280" w:firstLine="58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Ms. DeAngelis </w:t>
      </w:r>
      <w:r>
        <w:rPr>
          <w:rFonts w:ascii="Times New Roman" w:cs="Times New Roman" w:eastAsia="Times New Roman" w:hAnsi="Times New Roman"/>
          <w:sz w:val="16"/>
          <w:szCs w:val="16"/>
          <w:color w:val="auto"/>
        </w:rPr>
        <w:t>assumed the position of Executive Vice President and Chief Risk Officer of the Bank on January 5, 2009. From 2006 to 2008, she served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Vice President and Service Division Manager for the Bank. From 1995 to 2005, she served as Senior Vice President and Division Service Manager for the Bank.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 w:name="page19"/>
    <w:bookmarkEnd w:id="18"/>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156" w:lineRule="exact"/>
        <w:rPr>
          <w:sz w:val="20"/>
          <w:szCs w:val="20"/>
          <w:color w:val="auto"/>
        </w:rPr>
      </w:pPr>
    </w:p>
    <w:p>
      <w:pPr>
        <w:jc w:val="both"/>
        <w:ind w:right="80" w:firstLine="600"/>
        <w:spacing w:after="0" w:line="239" w:lineRule="auto"/>
        <w:rPr>
          <w:sz w:val="20"/>
          <w:szCs w:val="20"/>
          <w:color w:val="auto"/>
        </w:rPr>
      </w:pPr>
      <w:r>
        <w:rPr>
          <w:rFonts w:ascii="Times New Roman" w:cs="Times New Roman" w:eastAsia="Times New Roman" w:hAnsi="Times New Roman"/>
          <w:sz w:val="16"/>
          <w:szCs w:val="16"/>
          <w:color w:val="auto"/>
        </w:rPr>
        <w:t>In the course of conducting our business operations, we are exposed to a variety of risks. Some of these risks are inherent in the financial services industry and others are more specific to our own business. Together with the other information on the risks we face and our management of risk contained in this Annual Report, the following presents the most significant risks of which we are currently aware that may affect us. Events or circumstances arising from one or more of these risks could adversely affect our business, financial condition, operating results and prospects and the value and price of our common stock could decline. The risks identified below are not intended to be a comprehensive list of all risks we face, and additional risks that we may currently view as not material may also impair our business operations, financial condition and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allowance for credit losses may not be sufficient to cover actual losses.</w:t>
      </w:r>
    </w:p>
    <w:p>
      <w:pPr>
        <w:spacing w:after="0" w:line="156" w:lineRule="exact"/>
        <w:rPr>
          <w:sz w:val="20"/>
          <w:szCs w:val="20"/>
          <w:color w:val="auto"/>
        </w:rPr>
      </w:pPr>
    </w:p>
    <w:p>
      <w:pPr>
        <w:ind w:right="60" w:firstLine="588"/>
        <w:spacing w:after="0" w:line="239" w:lineRule="auto"/>
        <w:rPr>
          <w:sz w:val="20"/>
          <w:szCs w:val="20"/>
          <w:color w:val="auto"/>
        </w:rPr>
      </w:pPr>
      <w:r>
        <w:rPr>
          <w:rFonts w:ascii="Times New Roman" w:cs="Times New Roman" w:eastAsia="Times New Roman" w:hAnsi="Times New Roman"/>
          <w:sz w:val="16"/>
          <w:szCs w:val="16"/>
          <w:color w:val="auto"/>
        </w:rPr>
        <w:t>A significant source of risk arises from the possibility that we could sustain losses because borrowers, guarantors, and related parties may fail to perform in accordance with the terms of their loans and leases. The underwriting and credit monitoring policies and procedures that we have adopted to address this risk may not prevent unexpected losses that could have a material adverse effect on our business, financial condition, results of operations and cash flows. We maintain an allowance for credit losses to provide for loan and lease defaults and non -performance, which also includes increases for new loan growth. While we believe that our allowance for credit losses is appropriate to cover currently expected losses, we cannot assure you that we will not increase the allowance for credit losses in the future or that our regulators or outside auditors will not require us to increase this allowance.</w:t>
      </w:r>
    </w:p>
    <w:p>
      <w:pPr>
        <w:spacing w:after="0" w:line="133" w:lineRule="exact"/>
        <w:rPr>
          <w:sz w:val="20"/>
          <w:szCs w:val="20"/>
          <w:color w:val="auto"/>
        </w:rPr>
      </w:pPr>
    </w:p>
    <w:p>
      <w:pPr>
        <w:ind w:right="2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make additional provisions for credit losses and charge-off additional loans in the future, which could adversely affect our results of operations.</w:t>
      </w:r>
    </w:p>
    <w:p>
      <w:pPr>
        <w:spacing w:after="0" w:line="115" w:lineRule="exact"/>
        <w:rPr>
          <w:sz w:val="20"/>
          <w:szCs w:val="20"/>
          <w:color w:val="auto"/>
        </w:rPr>
      </w:pPr>
    </w:p>
    <w:p>
      <w:pPr>
        <w:ind w:right="120" w:firstLine="588"/>
        <w:spacing w:after="0" w:line="237" w:lineRule="auto"/>
        <w:rPr>
          <w:sz w:val="20"/>
          <w:szCs w:val="20"/>
          <w:color w:val="auto"/>
        </w:rPr>
      </w:pPr>
      <w:r>
        <w:rPr>
          <w:rFonts w:ascii="Times New Roman" w:cs="Times New Roman" w:eastAsia="Times New Roman" w:hAnsi="Times New Roman"/>
          <w:sz w:val="16"/>
          <w:szCs w:val="16"/>
          <w:color w:val="auto"/>
        </w:rPr>
        <w:t>For the year ended December 31, 2024, we recorded a $3.0 million recapture of provision for credit losses. During 2024, we experienced charge-offs of $4.4 million and recoveries of $0.7 million, resulting in net charge-offs of $3.7 million. We have a significant amount of real estate loans, therefore, decreases in real estate values could adversely affect the value of property used as collateral for our loans. As of December 31, 2024, we had $6.51 billion in commercial real estate loans, $269.2 million in single-family residential mortgages, and $16.1 million in construction loans. Low interest rates through the pandemic caused real estate values in general to increase materially due to low cost of funding with inflationary upward pressures on cash flow. There is no assurance that recent rental rate increases across any segment of the real estate property classes are sustainable with reasonable possibility of moderate decline to stabilization. Capitalization Rates used to determine value have increased due to overall cost of capital causing some downward pressure on real estate values. Additionally, changes in longer term commercial real estate usage and occupancy patterns, particularly in the office and retail segments, have negatively impacted the valuations of affected properties, depending on geographic location and other factors. These issues could affect the ability of our loan customers to refinance or service their debts, including those customers whose loans are secured by commercial or residential real estate. This, in turn, could result in loan charge-offs and provisions for credit losses in the future, which could have a material adverse effect on our financial condition, net income and capital.</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dairy &amp; livestock and agribusiness lending presents unique credit risks.</w:t>
      </w:r>
    </w:p>
    <w:p>
      <w:pPr>
        <w:spacing w:after="0" w:line="156"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color w:val="auto"/>
        </w:rPr>
        <w:t>As of December 31, 2024, approximately 5.0% of our total gross loan portfolio was comprised of dairy &amp; livestock and agribusiness loans. As of December 31, 2024, we had $419.9 million in dairy &amp; livestock and agribusiness loans, including $385.3 million in dairy &amp; livestock loans and $34.6 million in agribusiness loans. Repayment of dairy &amp; livestock and agribusiness loans depends primarily on the successful raising and feeding of livestock or planting and harvest of crops and marketing the harvested commodity (including milk production). Collateral securing these loans may be illiquid. In addition, the limited purpose of some agricultural-related collateral affects credit risk because such collateral may have limited or no other uses to support values when loan repayment problems emerge. Our dairy &amp; livestock and agribusiness lending staff have specific technical expertise that we depend on to mitigate our lending risks for these loans and we may have difficulty retaining or replacing such individuals. Many external factors can impact our agricultural borrowers’ ability to repay their loans, including the effects of inflation, adverse weather conditions, water issues, commodity price volatility (i.e. milk prices), diseases (including bird flu), land values, production costs, changing government regulations and subsidy programs, changing tax treatment, technological changes, labor market shortages/increased wages, and changes in consumers’ preferences, over which our borrowers may have no control. These factors, as well as recent volatility in certain commodity prices, including milk prices, could adversely impact the ability of those to whom we have made dairy &amp; livestock and agribusiness loans to perform under the terms of their borrowing arrangements with us, which in turn could result in credit losses and adversely affect our business, financial condition and results of operations.</w:t>
      </w:r>
    </w:p>
    <w:p>
      <w:pPr>
        <w:spacing w:after="0" w:line="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7" w:right="660" w:bottom="1440" w:gutter="0" w:footer="0" w:header="0"/>
        </w:sectPr>
      </w:pPr>
    </w:p>
    <w:bookmarkStart w:id="19" w:name="page20"/>
    <w:bookmarkEnd w:id="19"/>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Our loan portfolio is predominantly secured by real estate in California and thus we have a higher degree of credit risk from a downturn in our real estate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markets.</w:t>
      </w:r>
    </w:p>
    <w:p>
      <w:pPr>
        <w:spacing w:after="0" w:line="134" w:lineRule="exact"/>
        <w:rPr>
          <w:sz w:val="20"/>
          <w:szCs w:val="20"/>
          <w:color w:val="auto"/>
        </w:rPr>
      </w:pPr>
    </w:p>
    <w:p>
      <w:pPr>
        <w:ind w:right="20" w:firstLine="588"/>
        <w:spacing w:after="0" w:line="276" w:lineRule="auto"/>
        <w:rPr>
          <w:sz w:val="20"/>
          <w:szCs w:val="20"/>
          <w:color w:val="auto"/>
        </w:rPr>
      </w:pPr>
      <w:r>
        <w:rPr>
          <w:rFonts w:ascii="Times New Roman" w:cs="Times New Roman" w:eastAsia="Times New Roman" w:hAnsi="Times New Roman"/>
          <w:sz w:val="14"/>
          <w:szCs w:val="14"/>
          <w:color w:val="auto"/>
        </w:rPr>
        <w:t>A renewed downturn in our real estate markets could hurt our business because most of our loans are secured by real estate. Real estate values and real estate markets are generally affected by changes in national, regional or local economic conditions, fluctuations in interest rates and the availability of loans to potential purchasers, changes in tax laws and other governmental statutes, regulations and policies, and acts of nature, such as earthquakes, prolonged drought, pandemics, wildfires and other disasters particular to California. The vast majority of our real estate collateral is located in the state of California. If real estate values, including values of land held for development, should again start to decline, the value of real estate collateral securing our loans could be significantly reduced. Our ability to recover on defaulted loans by foreclosing and selling the real estate collateral would then be diminished and we would be more likely to suffer losses on defaulted loans. Commercial real estate loans typically involve large balances to single borrowers or a group of related borrowers. Since payments on these loans are often dependent on the successful operation or management of the properties, as well as the business and financial condition of the borrower(s), repayment of such loans may be subject to adverse conditions in the real estate market, adverse economic conditions or changes in applicable government regulations.</w:t>
      </w:r>
    </w:p>
    <w:p>
      <w:pPr>
        <w:spacing w:after="0" w:line="295" w:lineRule="exact"/>
        <w:rPr>
          <w:sz w:val="20"/>
          <w:szCs w:val="20"/>
          <w:color w:val="auto"/>
        </w:rPr>
      </w:pPr>
    </w:p>
    <w:p>
      <w:pPr>
        <w:ind w:right="40" w:firstLine="588"/>
        <w:spacing w:after="0" w:line="247" w:lineRule="auto"/>
        <w:rPr>
          <w:sz w:val="20"/>
          <w:szCs w:val="20"/>
          <w:color w:val="auto"/>
        </w:rPr>
      </w:pPr>
      <w:r>
        <w:rPr>
          <w:rFonts w:ascii="Times New Roman" w:cs="Times New Roman" w:eastAsia="Times New Roman" w:hAnsi="Times New Roman"/>
          <w:sz w:val="16"/>
          <w:szCs w:val="16"/>
          <w:color w:val="auto"/>
        </w:rPr>
        <w:t>Additional risks associated with our real estate construction loan portfolio include failure of developers and/or contractors to complete construction on a timely basis or at all, market deterioration during construction, cost overruns and failure to sell or lease the properties underlying the construction loans so as to generate the cash flow anticipated by our borrower.</w:t>
      </w:r>
    </w:p>
    <w:p>
      <w:pPr>
        <w:spacing w:after="0" w:line="128" w:lineRule="exact"/>
        <w:rPr>
          <w:sz w:val="20"/>
          <w:szCs w:val="20"/>
          <w:color w:val="auto"/>
        </w:rPr>
      </w:pPr>
    </w:p>
    <w:p>
      <w:pPr>
        <w:jc w:val="both"/>
        <w:ind w:right="320" w:firstLine="588"/>
        <w:spacing w:after="0" w:line="247" w:lineRule="auto"/>
        <w:rPr>
          <w:sz w:val="20"/>
          <w:szCs w:val="20"/>
          <w:color w:val="auto"/>
        </w:rPr>
      </w:pPr>
      <w:r>
        <w:rPr>
          <w:rFonts w:ascii="Times New Roman" w:cs="Times New Roman" w:eastAsia="Times New Roman" w:hAnsi="Times New Roman"/>
          <w:sz w:val="16"/>
          <w:szCs w:val="16"/>
          <w:color w:val="auto"/>
        </w:rPr>
        <w:t>A decline in the economy may cause renewed declines in real estate values and increases in unemployment, which may result in higher than expected loan delinquencies or problem assets, a decline in demand for our products and services, or a lack of growth or decrease in deposits, which may cause us to incur losses, adversely affect our capital or hurt our business.</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real estate loan portfolio exposes us to risks that may be greater than the risks related to our other loans.</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Federal and state banking regulators are examining commercial real estate lending activity with heightened scrutiny and may require banks with higher levels of commercial real estate loans to implement more stringent underwriting, internal controls, risk management policies and portfolio stress testing, as well as possibly higher levels of allowances for losses and capital levels as a result of commercial real estate lending growth and exposures. Because a significant portion of our loan portfolio is comprised of commercial real estate loans, the banking regulators may require us to maintain higher levels of capital than we would otherwise be expected to maintain or may impose limits on our ability to make additional commercial real estate loans, which could limit our ability to leverage our capital and have a material adverse effect on our business, financial condition, results of operations and prospects.</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 of environmental liabilities with respect to properties to which we take title.</w:t>
      </w:r>
    </w:p>
    <w:p>
      <w:pPr>
        <w:spacing w:after="0" w:line="156" w:lineRule="exact"/>
        <w:rPr>
          <w:sz w:val="20"/>
          <w:szCs w:val="20"/>
          <w:color w:val="auto"/>
        </w:rPr>
      </w:pPr>
    </w:p>
    <w:p>
      <w:pPr>
        <w:ind w:firstLine="600"/>
        <w:spacing w:after="0" w:line="278" w:lineRule="auto"/>
        <w:rPr>
          <w:sz w:val="20"/>
          <w:szCs w:val="20"/>
          <w:color w:val="auto"/>
        </w:rPr>
      </w:pPr>
      <w:r>
        <w:rPr>
          <w:rFonts w:ascii="Times New Roman" w:cs="Times New Roman" w:eastAsia="Times New Roman" w:hAnsi="Times New Roman"/>
          <w:sz w:val="14"/>
          <w:szCs w:val="14"/>
          <w:color w:val="auto"/>
        </w:rPr>
        <w:t>In the course of our business, we may foreclose and take title to real estate, and we could be subject to environmental liabilities with respect to these properties. While we will take steps to mitigate this risk, we may be held liable to a governmental entity or to third parties for property damage, personal injury, investigation and clean-up costs incurred by these parties in connection with environmental contamination, or we may be required to investigate or clean-up hazardous or toxic substances, or chemical releases at one or more properties. The costs associated with investigation or remediation activities could be substantial. In addition, while there are certain statutory protections afforded lenders who take title to property through foreclosure on a loan,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results of operations and prospects could be adversely affected.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Interest Rate Risks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Liquidity risk could impair our ability to fund operations and jeopardize our financial condition.</w:t>
      </w:r>
    </w:p>
    <w:p>
      <w:pPr>
        <w:spacing w:after="0" w:line="156" w:lineRule="exact"/>
        <w:rPr>
          <w:sz w:val="20"/>
          <w:szCs w:val="20"/>
          <w:color w:val="auto"/>
        </w:rPr>
      </w:pPr>
    </w:p>
    <w:p>
      <w:pPr>
        <w:ind w:right="80" w:firstLine="600"/>
        <w:spacing w:after="0" w:line="243" w:lineRule="auto"/>
        <w:rPr>
          <w:sz w:val="20"/>
          <w:szCs w:val="20"/>
          <w:color w:val="auto"/>
        </w:rPr>
      </w:pPr>
      <w:r>
        <w:rPr>
          <w:rFonts w:ascii="Times New Roman" w:cs="Times New Roman" w:eastAsia="Times New Roman" w:hAnsi="Times New Roman"/>
          <w:sz w:val="16"/>
          <w:szCs w:val="16"/>
          <w:color w:val="auto"/>
        </w:rPr>
        <w:t>Liquidity is essential to our banking business. An inability to raise funds through deposits, borrowings, the sale of investment securities, loans and other sources could have a material adverse effect on our liquidity. Our access to funding sources in amounts adequate to finance our activities could be impaired by factors that affect us specifically or the banking or broader financial services industry in general. Factors that could detrimentally impact our access to liquidity sources include a decrease in the level of our business activity due to a market downturn or adverse regulatory action against us. Our ability</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 w:name="page21"/>
    <w:bookmarkEnd w:id="20"/>
    <w:p>
      <w:pPr>
        <w:spacing w:after="0" w:line="13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to acquire deposits or borrow could also be impaired by factors that are not specific to us, such as the effects of inflation, rising interest rates, a severe disruption of the financial markets or negative views and expectations about the prospects for the banking or financial services industry as a whole. Many if not all of these same factors could also significantly raise the cost of deposits to our Company and/or to the banking industry in general. This in turn could negatively affect our ability to attract deposits generally and the amount of interest we pay on our interest-bearing liabilities, which could have an adverse impact on our interest rate spread and profitability.</w:t>
      </w:r>
    </w:p>
    <w:p>
      <w:pPr>
        <w:spacing w:after="0" w:line="97" w:lineRule="exact"/>
        <w:rPr>
          <w:sz w:val="20"/>
          <w:szCs w:val="20"/>
          <w:color w:val="auto"/>
        </w:rPr>
      </w:pPr>
    </w:p>
    <w:p>
      <w:pPr>
        <w:ind w:left="600" w:right="720"/>
        <w:spacing w:after="0" w:line="3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Negative developments affecting the banking industry could adversely impact our liquidity. </w:t>
      </w:r>
      <w:r>
        <w:rPr>
          <w:rFonts w:ascii="Times New Roman" w:cs="Times New Roman" w:eastAsia="Times New Roman" w:hAnsi="Times New Roman"/>
          <w:sz w:val="16"/>
          <w:szCs w:val="16"/>
          <w:color w:val="auto"/>
        </w:rPr>
        <w:t>High-profile bank failures in 2023 generated significant market volatility among publicly traded bank holding companies and, in particular, regional</w:t>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community banks like the Bank. These market developments negatively impacted customer confidence in the safety and soundness of smaller regional and community banks. As a result, customers may choose to maintain deposits with larger more systemically important financial institutions, restrict the amount of deposits they place with a given financial institution, or invest in higher yielding and higher-rated short-term fixed income securities, all of which could materially adversely impact the Bank’s liquidity, loan funding capacity, net interest margin, capital and results of operations. While the Bank currently has access to substantial borrowing capacity from the Federal Reserve Bank, the Federal Home Loan Bank and credit facilities established with larger banks, there can be no assurance that customer confidence in regional banks and the banking system more broadly has been fully restored or that potential liquidity concerns will recede or that such access to alternative sources of liquidity will continue unimpaired.</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The actions and commercial soundness of other financial institutions could affect our ability to engage in routine funding transactions.</w:t>
      </w:r>
    </w:p>
    <w:p>
      <w:pPr>
        <w:spacing w:after="0" w:line="156" w:lineRule="exact"/>
        <w:rPr>
          <w:sz w:val="20"/>
          <w:szCs w:val="20"/>
          <w:color w:val="auto"/>
        </w:rPr>
      </w:pPr>
    </w:p>
    <w:p>
      <w:pPr>
        <w:ind w:right="100" w:firstLine="588"/>
        <w:spacing w:after="0" w:line="239" w:lineRule="auto"/>
        <w:rPr>
          <w:sz w:val="20"/>
          <w:szCs w:val="20"/>
          <w:color w:val="auto"/>
        </w:rPr>
      </w:pPr>
      <w:r>
        <w:rPr>
          <w:rFonts w:ascii="Times New Roman" w:cs="Times New Roman" w:eastAsia="Times New Roman" w:hAnsi="Times New Roman"/>
          <w:sz w:val="16"/>
          <w:szCs w:val="16"/>
          <w:color w:val="auto"/>
        </w:rPr>
        <w:t>Financial service institutions are interrelated as a result of trading, clearing, counterparty or other relationships. We have exposure to different industries and counterparties, and we typically execute transactions with various counterparties in the financial industry, including brokers and dealers, commercial banks, investment banks, mutual funds, and other institutional clients. Defaults by financial services institutions, even rumors or questions about one or more financial institutions or the financial services industry in general, could lead to market wide liquidity problems and further, could lead to losses or defaults by the Company or other institutions. Many of these transactions expose us to credit risk in the event of default of the applicable counterparty or client. In addition, our credit risk may increase when the collateral held by us cannot be realized upon or is liquidated at prices not sufficient to recover the full amount of the loan or derivative exposure due to us. Any such losses could materially and adversely affect our consolidated financial statements.</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maintain a strong core deposit base or other low-cost funding sources.</w:t>
      </w:r>
    </w:p>
    <w:p>
      <w:pPr>
        <w:spacing w:after="0" w:line="156" w:lineRule="exact"/>
        <w:rPr>
          <w:sz w:val="20"/>
          <w:szCs w:val="20"/>
          <w:color w:val="auto"/>
        </w:rPr>
      </w:pPr>
    </w:p>
    <w:p>
      <w:pPr>
        <w:ind w:right="20" w:firstLine="588"/>
        <w:spacing w:after="0" w:line="239" w:lineRule="auto"/>
        <w:rPr>
          <w:sz w:val="20"/>
          <w:szCs w:val="20"/>
          <w:color w:val="auto"/>
        </w:rPr>
      </w:pPr>
      <w:r>
        <w:rPr>
          <w:rFonts w:ascii="Times New Roman" w:cs="Times New Roman" w:eastAsia="Times New Roman" w:hAnsi="Times New Roman"/>
          <w:sz w:val="16"/>
          <w:szCs w:val="16"/>
          <w:color w:val="auto"/>
        </w:rPr>
        <w:t>We depend on checking, savings and money market deposit account balances and other forms of customer deposits as our primary source of funding for our lending activities. Future growth in our banking business will largely depend on our ability to maintain and grow a strong and low-cost deposit base. There is no assurance that we will be able to grow and maintain our deposit base. Deposit balances can decrease when customers perceive alternative investments, such as higher yielding money market funds, the stock market, bond market or real estate, as providing a better risk/return tradeoff. If customers move money out of bank deposits and into investments (or similar deposit products at other institutions that may provide a higher rate of return), we could lose a relatively low cost source of funds, increasing our funding costs and reducing our net interest income and net income. Additionally, any such loss of funds could result in lower loan originations, which could adversely impact our growth strategy.</w:t>
      </w:r>
    </w:p>
    <w:p>
      <w:pPr>
        <w:spacing w:after="0" w:line="3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interest rate risk and variations in interest rates may negatively affect our financial performance.</w:t>
      </w:r>
    </w:p>
    <w:p>
      <w:pPr>
        <w:spacing w:after="0" w:line="156"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A substantial portion of our income is derived from the differential or “spread” between the interest earned on loans, securities and other interest-earning assets, and the interest paid on deposits, borrowings and other interest-bearing liabilities. Because of the differences in the maturities and repricing characteristics of our interest-earning assets and interest-bearing liabilities, changes in interest rates do not produce equivalent changes in interest income earned on interest-earning assets and interest paid on interest-bearing liabilities. At December 31, 2024, our balance sheet was positioned with an asset sensitive bias over both a one and two-year horizon, assuming no balance sheet growth, and as a result, our net interest margin tends to expand in a rising interest rate environment and decrease in a declining interest rate environment. Accordingly, fluctuations in interest rates could adversely affect our interest rate spread and, in turn, our profitability. Loan origination volumes may be affected by changes in market interest rates. In addition, in rising interest rate environments, loan repayment rates may decline and in falling interest rate environments, loan repayment rates may increase. Rising interest rates may also cause a decline in principal payments, while a decline in interest rates may accelerate principal payments for a significant portion of</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 w:name="page22"/>
    <w:bookmarkEnd w:id="21"/>
    <w:p>
      <w:pPr>
        <w:spacing w:after="0" w:line="1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our investment securities. In a rising interest rate environment, we may need to accelerate the pace of rate increases on our deposit accounts as compared to the pace of future increases in short-term market rates and our customers could move their deposits with us to money market funds or institutions that pay higher interest rates on deposits accounts. Accordingly, changes in levels of market interest rates could materially and adversely affect our net interest spread, asset quality, levels of deposits, as well as loan origination and prepayment volume.</w:t>
      </w:r>
    </w:p>
    <w:p>
      <w:pPr>
        <w:spacing w:after="0" w:line="127" w:lineRule="exact"/>
        <w:rPr>
          <w:sz w:val="20"/>
          <w:szCs w:val="20"/>
          <w:color w:val="auto"/>
        </w:rPr>
      </w:pPr>
    </w:p>
    <w:p>
      <w:pPr>
        <w:ind w:right="28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Elevated interest rates have decreased the market value of the Company’s available for sale and held-to-maturity securities and loan portfolios, and the Company would realize losses if it were required to sell such securities or loans to meet liquidity needs.</w:t>
      </w:r>
    </w:p>
    <w:p>
      <w:pPr>
        <w:spacing w:after="0" w:line="115"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As a result of inflationary pressures that resulted in rapid increases in interest rates initiated by the Federal Reserve during 2022- 2023, the fair values of previously purchased fixed income securities have declined significantly. At December 31, 2024, the total carrying value of our securities portfolio was $4.92 billion, of which $2.54 billion was available-for-sale and $2.38 billion was held-to-maturity. The aggregate pre-tax net unrealized loss in our AFS securities was $447.7 million at December 31, 2024. Based on estimated fair values, the aggregate pre-tax net unrealized loss in our HTM securities was approximately $425.3 million at December 31, 2024. In addition, the fair value of many of our loans, which have interest rates that are fixed until maturity or reset on a future date, has been negatively impacted by the increases in interest rates from the time these loans were originated.</w:t>
      </w:r>
    </w:p>
    <w:p>
      <w:pPr>
        <w:spacing w:after="0" w:line="137" w:lineRule="exact"/>
        <w:rPr>
          <w:sz w:val="20"/>
          <w:szCs w:val="20"/>
          <w:color w:val="auto"/>
        </w:rPr>
      </w:pPr>
    </w:p>
    <w:p>
      <w:pPr>
        <w:ind w:right="120" w:firstLine="588"/>
        <w:spacing w:after="0" w:line="243" w:lineRule="auto"/>
        <w:rPr>
          <w:sz w:val="20"/>
          <w:szCs w:val="20"/>
          <w:color w:val="auto"/>
        </w:rPr>
      </w:pPr>
      <w:r>
        <w:rPr>
          <w:rFonts w:ascii="Times New Roman" w:cs="Times New Roman" w:eastAsia="Times New Roman" w:hAnsi="Times New Roman"/>
          <w:sz w:val="16"/>
          <w:szCs w:val="16"/>
          <w:color w:val="auto"/>
        </w:rPr>
        <w:t>While the Company does not currently intend to sell these securities or loans, if the Company were required to sell such securities or loans to meet liquidity needs, it could incur significant losses, which could impair the Company’s capital, financial condition, and results of operations, thereby negatively impacting our profitability. While the Company has taken actions to maximize its funding sources, there is no guarantee that such actions and the Company's borrowing facilities will be successful or sufficient in the event of sudden liquidity needs.</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Hedging against interest rate exposure may adversely affect our earnings.</w:t>
      </w:r>
    </w:p>
    <w:p>
      <w:pPr>
        <w:spacing w:after="0" w:line="156" w:lineRule="exact"/>
        <w:rPr>
          <w:sz w:val="20"/>
          <w:szCs w:val="20"/>
          <w:color w:val="auto"/>
        </w:rPr>
      </w:pPr>
    </w:p>
    <w:p>
      <w:pPr>
        <w:ind w:firstLine="588"/>
        <w:spacing w:after="0" w:line="284" w:lineRule="auto"/>
        <w:rPr>
          <w:sz w:val="20"/>
          <w:szCs w:val="20"/>
          <w:color w:val="auto"/>
        </w:rPr>
      </w:pPr>
      <w:r>
        <w:rPr>
          <w:rFonts w:ascii="Times New Roman" w:cs="Times New Roman" w:eastAsia="Times New Roman" w:hAnsi="Times New Roman"/>
          <w:sz w:val="14"/>
          <w:szCs w:val="14"/>
          <w:color w:val="auto"/>
        </w:rPr>
        <w:t>On occasion we have employed various financial risk methodologies that limit, or “hedge,” the adverse effects of rising or decreasing interest rates on our loan portfolios, investment securities, and short-term liabilities. We also engage in hedging strategies with respect to arrangements where our customers swap floating interest rate obligations for fixed interest rate obligations, or vice versa. Our hedging activity varies based on the level and volatility of interest rates and other changing market conditions. There are no perfect hedging strategies, and interest rate hedging may fail to protect us from loss. Moreover, hedging activities could result in losses if the event against which we hedge does not occur. Additionally, interest rate hedging could fail to protect us or adversely affect us because, among other things:</w:t>
      </w:r>
    </w:p>
    <w:p>
      <w:pPr>
        <w:spacing w:after="0" w:line="44" w:lineRule="exact"/>
        <w:rPr>
          <w:sz w:val="20"/>
          <w:szCs w:val="20"/>
          <w:color w:val="auto"/>
        </w:rPr>
      </w:pPr>
    </w:p>
    <w:p>
      <w:pPr>
        <w:ind w:left="480" w:right="2780"/>
        <w:spacing w:after="0" w:line="242" w:lineRule="auto"/>
        <w:rPr>
          <w:sz w:val="20"/>
          <w:szCs w:val="20"/>
          <w:color w:val="auto"/>
        </w:rPr>
      </w:pPr>
      <w:r>
        <w:rPr>
          <w:rFonts w:ascii="Times New Roman" w:cs="Times New Roman" w:eastAsia="Times New Roman" w:hAnsi="Times New Roman"/>
          <w:sz w:val="16"/>
          <w:szCs w:val="16"/>
          <w:color w:val="auto"/>
        </w:rPr>
        <w:t>•Available interest rate hedging may not correspond directly with the interest rate risk for which protection is sought; •The duration of the hedge may not match the duration of the related asset or liability; •The party owing money in the hedging transaction may default on its obligation to pay;</w:t>
      </w:r>
    </w:p>
    <w:p>
      <w:pPr>
        <w:spacing w:after="0" w:line="2" w:lineRule="exact"/>
        <w:rPr>
          <w:sz w:val="20"/>
          <w:szCs w:val="20"/>
          <w:color w:val="auto"/>
        </w:rPr>
      </w:pPr>
    </w:p>
    <w:p>
      <w:pPr>
        <w:ind w:left="480" w:right="500"/>
        <w:spacing w:after="0" w:line="234" w:lineRule="auto"/>
        <w:rPr>
          <w:sz w:val="20"/>
          <w:szCs w:val="20"/>
          <w:color w:val="auto"/>
        </w:rPr>
      </w:pPr>
      <w:r>
        <w:rPr>
          <w:rFonts w:ascii="Times New Roman" w:cs="Times New Roman" w:eastAsia="Times New Roman" w:hAnsi="Times New Roman"/>
          <w:sz w:val="16"/>
          <w:szCs w:val="16"/>
          <w:color w:val="auto"/>
        </w:rPr>
        <w:t>•The credit quality of the party owing money on the hedge may be downgraded to such an extent that it impairs our ability to sell or assign our side of the hedging transaction;</w:t>
      </w:r>
    </w:p>
    <w:p>
      <w:pPr>
        <w:spacing w:after="0" w:line="1" w:lineRule="exact"/>
        <w:rPr>
          <w:sz w:val="20"/>
          <w:szCs w:val="20"/>
          <w:color w:val="auto"/>
        </w:rPr>
      </w:pPr>
    </w:p>
    <w:p>
      <w:pPr>
        <w:ind w:left="480" w:right="540"/>
        <w:spacing w:after="0" w:line="238" w:lineRule="auto"/>
        <w:rPr>
          <w:sz w:val="20"/>
          <w:szCs w:val="20"/>
          <w:color w:val="auto"/>
        </w:rPr>
      </w:pPr>
      <w:r>
        <w:rPr>
          <w:rFonts w:ascii="Times New Roman" w:cs="Times New Roman" w:eastAsia="Times New Roman" w:hAnsi="Times New Roman"/>
          <w:sz w:val="16"/>
          <w:szCs w:val="16"/>
          <w:color w:val="auto"/>
        </w:rPr>
        <w:t>•The value of derivatives used for hedging may be adjusted from time to time in accordance with accounting rules to reflect changes in fair value; and/or •Downward adjustments, or “mark-to-market” losses, would reduce our stockholders’ equity.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Operational Risks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face risks related to our operational, technological and organizational infrastructure.</w:t>
      </w:r>
    </w:p>
    <w:p>
      <w:pPr>
        <w:spacing w:after="0" w:line="156" w:lineRule="exact"/>
        <w:rPr>
          <w:sz w:val="20"/>
          <w:szCs w:val="20"/>
          <w:color w:val="auto"/>
        </w:rPr>
      </w:pPr>
    </w:p>
    <w:p>
      <w:pPr>
        <w:ind w:right="20" w:firstLine="588"/>
        <w:spacing w:after="0" w:line="239" w:lineRule="auto"/>
        <w:rPr>
          <w:sz w:val="20"/>
          <w:szCs w:val="20"/>
          <w:color w:val="auto"/>
        </w:rPr>
      </w:pPr>
      <w:r>
        <w:rPr>
          <w:rFonts w:ascii="Times New Roman" w:cs="Times New Roman" w:eastAsia="Times New Roman" w:hAnsi="Times New Roman"/>
          <w:sz w:val="16"/>
          <w:szCs w:val="16"/>
          <w:color w:val="auto"/>
        </w:rPr>
        <w:t>Our ability to grow and compete, including to develop and deliver new products that meet the needs of our existing customers and attract new ones, is dependent on our ability to build or acquire the necessary operational and technological infrastructure and to manage the cost of that infrastructure as we expand. Our ability to run our business in compliance with applicable laws and regulations is also dependent on that infrastructure. Operational risk can manifest itself in many ways, such as errors related to failed or inadequate processes, faulty or disabled computer systems, fraud by employees or outside persons and exposure to external events, and we are dependent on our operational infrastructure to help manage these risks. In addition, we are heavily dependent on the strength and capability of our technology systems, which we use both to</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 w:name="page23"/>
    <w:bookmarkEnd w:id="22"/>
    <w:p>
      <w:pPr>
        <w:spacing w:after="0" w:line="137"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interface with our customers and to manage our internal financial records and other systems. Any shortcomings in our technology systems subjects us to risk of misconduct by our employees that may go undetected.</w:t>
      </w:r>
    </w:p>
    <w:p>
      <w:pPr>
        <w:spacing w:after="0" w:line="119" w:lineRule="exact"/>
        <w:rPr>
          <w:sz w:val="20"/>
          <w:szCs w:val="20"/>
          <w:color w:val="auto"/>
        </w:rPr>
      </w:pPr>
    </w:p>
    <w:p>
      <w:pPr>
        <w:ind w:right="320" w:firstLine="588"/>
        <w:spacing w:after="0" w:line="243" w:lineRule="auto"/>
        <w:rPr>
          <w:sz w:val="20"/>
          <w:szCs w:val="20"/>
          <w:color w:val="auto"/>
        </w:rPr>
      </w:pPr>
      <w:r>
        <w:rPr>
          <w:rFonts w:ascii="Times New Roman" w:cs="Times New Roman" w:eastAsia="Times New Roman" w:hAnsi="Times New Roman"/>
          <w:sz w:val="16"/>
          <w:szCs w:val="16"/>
          <w:color w:val="auto"/>
        </w:rPr>
        <w:t>A number of our most critical technology systems and applications are provided or managed by outside vendors or service providers. Any failure by such vendors or service providers to properly design, manage or secure these technology systems and applications, or the occurrence of external events affecting the functionality of such technology systems and applications, could in turn result in significant disruptions and exposure to potential losses in connection with our operations and to us and our customers.</w:t>
      </w:r>
    </w:p>
    <w:p>
      <w:pPr>
        <w:spacing w:after="0" w:line="131"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We are subject to extensive laws and regulations at the federal and state levels regarding the protection and security of our customers’ and employees’ personal information and data, including the federal Gramm-Leach-Bliley Act, the federal Health Insurance Portability and Accountability Act, and the California Consumer Privacy Act and California Privacy Rights Act. These laws and regulations require us to safeguard sensitive customer data and employee medical records and health-related information, and such laws and regulations closely regulate how businesses such as our Bank may collect, use and retain specified types of customer and employee information. If we fail or are unable to comply with such laws and regulations, we could incur significant legal liability, governmental investigations and penalties, and reputational damage.</w:t>
      </w:r>
    </w:p>
    <w:p>
      <w:pPr>
        <w:spacing w:after="0" w:line="137" w:lineRule="exact"/>
        <w:rPr>
          <w:sz w:val="20"/>
          <w:szCs w:val="20"/>
          <w:color w:val="auto"/>
        </w:rPr>
      </w:pPr>
    </w:p>
    <w:p>
      <w:pPr>
        <w:ind w:right="100" w:firstLine="588"/>
        <w:spacing w:after="0" w:line="241" w:lineRule="auto"/>
        <w:rPr>
          <w:sz w:val="20"/>
          <w:szCs w:val="20"/>
          <w:color w:val="auto"/>
        </w:rPr>
      </w:pPr>
      <w:r>
        <w:rPr>
          <w:rFonts w:ascii="Times New Roman" w:cs="Times New Roman" w:eastAsia="Times New Roman" w:hAnsi="Times New Roman"/>
          <w:sz w:val="16"/>
          <w:szCs w:val="16"/>
          <w:color w:val="auto"/>
        </w:rPr>
        <w:t>We monitor our operational and technological capabilities and make modifications and improvements when we believe it will be cost effective to do so. We may build and maintain these capabilities ourselves, or we may outsource some of these functions to third parties. If we experience difficulties, fail to comply with banking or information security regulations or to keep up with increasingly sophisticated technologies, our operations could be interrupted. If an interruption were to continue for a significant period of time, our business, financial condition and results of operations could be adversely affected, perhaps materially. Even if we are able to replace them, it may be at a higher cost to us, which could materially adversely affect our business, financial condition and results of operations.</w:t>
      </w:r>
    </w:p>
    <w:p>
      <w:pPr>
        <w:spacing w:after="0" w:line="1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Failure to manage our growth may adversely affect our performance.</w:t>
      </w:r>
    </w:p>
    <w:p>
      <w:pPr>
        <w:spacing w:after="0" w:line="156" w:lineRule="exact"/>
        <w:rPr>
          <w:sz w:val="20"/>
          <w:szCs w:val="20"/>
          <w:color w:val="auto"/>
        </w:rPr>
      </w:pPr>
    </w:p>
    <w:p>
      <w:pPr>
        <w:ind w:right="240" w:firstLine="588"/>
        <w:spacing w:after="0" w:line="247" w:lineRule="auto"/>
        <w:rPr>
          <w:sz w:val="20"/>
          <w:szCs w:val="20"/>
          <w:color w:val="auto"/>
        </w:rPr>
      </w:pPr>
      <w:r>
        <w:rPr>
          <w:rFonts w:ascii="Times New Roman" w:cs="Times New Roman" w:eastAsia="Times New Roman" w:hAnsi="Times New Roman"/>
          <w:sz w:val="16"/>
          <w:szCs w:val="16"/>
          <w:color w:val="auto"/>
        </w:rPr>
        <w:t>Our financial performance and profitability depend on our ability to manage past and possible future growth. Past and future acquisitions and our continued organic growth may present operating, integration, regulatory, management and other issues that could have a material adverse effect on our business, financial condition, results of operations and cash flows.</w:t>
      </w:r>
    </w:p>
    <w:p>
      <w:pPr>
        <w:spacing w:after="0" w:line="128" w:lineRule="exact"/>
        <w:rPr>
          <w:sz w:val="20"/>
          <w:szCs w:val="20"/>
          <w:color w:val="auto"/>
        </w:rPr>
      </w:pPr>
    </w:p>
    <w:p>
      <w:pPr>
        <w:ind w:right="20" w:firstLine="588"/>
        <w:spacing w:after="0" w:line="237" w:lineRule="auto"/>
        <w:rPr>
          <w:sz w:val="20"/>
          <w:szCs w:val="20"/>
          <w:color w:val="auto"/>
        </w:rPr>
      </w:pPr>
      <w:r>
        <w:rPr>
          <w:rFonts w:ascii="Times New Roman" w:cs="Times New Roman" w:eastAsia="Times New Roman" w:hAnsi="Times New Roman"/>
          <w:sz w:val="16"/>
          <w:szCs w:val="16"/>
          <w:color w:val="auto"/>
        </w:rPr>
        <w:t>Acquisitions are and have been a key element of our growth strategy. Certain events may arise after our acquisition of a financial institution or business, or we may learn of certain facts, events or circumstances after the completion of an acquisition, that may affect our financial condition or performance or subject us to risk of loss. These events include, but are not limited to: our success in integrating the operations, retaining key employees and customers, achieving anticipated synergies, meeting expectations and otherwise realizing the anticipated benefits of the acquisition; litigation resulting from circumstances occurring at the acquired entity prior to the date of acquisition or in connection with the acquisition itself; loan downgrades and credit loss provisions resulting from underwriting of certain acquired loans determined not to meet our credit standards; personnel changes that cause instability within a department; delays in implementing new policies or procedures or the failure to apply new policies or procedures; and other events relating to the performance of our business. In addition, if we determine that the value of an acquired business had decreased and that the related goodwill was impaired, an impairment of goodwill charge to earnings would be recognized. Acquisitions involve inherent uncertainty and we cannot determine all potential events, facts and circumstances that could result in loss or increased costs or give assurances that our due diligence or mitigation efforts will be sufficient to protect against any such loss or increased costs.</w:t>
      </w:r>
    </w:p>
    <w:p>
      <w:pPr>
        <w:spacing w:after="0" w:line="140" w:lineRule="exact"/>
        <w:rPr>
          <w:sz w:val="20"/>
          <w:szCs w:val="20"/>
          <w:color w:val="auto"/>
        </w:rPr>
      </w:pPr>
    </w:p>
    <w:p>
      <w:pPr>
        <w:ind w:right="120" w:firstLine="588"/>
        <w:spacing w:after="0" w:line="259" w:lineRule="auto"/>
        <w:rPr>
          <w:sz w:val="20"/>
          <w:szCs w:val="20"/>
          <w:color w:val="auto"/>
        </w:rPr>
      </w:pPr>
      <w:r>
        <w:rPr>
          <w:rFonts w:ascii="Times New Roman" w:cs="Times New Roman" w:eastAsia="Times New Roman" w:hAnsi="Times New Roman"/>
          <w:sz w:val="16"/>
          <w:szCs w:val="16"/>
          <w:color w:val="auto"/>
        </w:rPr>
        <w:t>Furthermore, failure to realize the expected revenue increases, cost savings, increases in geographic or product presence, and/or other projected benefits from an acquisition could have a material adverse effect on our business, financial condition and results of operations.</w:t>
      </w:r>
    </w:p>
    <w:p>
      <w:pPr>
        <w:spacing w:after="0" w:line="115" w:lineRule="exact"/>
        <w:rPr>
          <w:sz w:val="20"/>
          <w:szCs w:val="20"/>
          <w:color w:val="auto"/>
        </w:rPr>
      </w:pPr>
    </w:p>
    <w:p>
      <w:pPr>
        <w:ind w:firstLine="60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The occurrence of fraudulent activity, breaches or failures of our information security controls or cybersecurity-related incidents to either our information systems or information systems provided by third party vendors could have a material adverse effect on our business, financial condition and results of operations.</w:t>
      </w:r>
    </w:p>
    <w:p>
      <w:pPr>
        <w:spacing w:after="0" w:line="68" w:lineRule="exact"/>
        <w:rPr>
          <w:sz w:val="20"/>
          <w:szCs w:val="20"/>
          <w:color w:val="auto"/>
        </w:rPr>
      </w:pPr>
    </w:p>
    <w:p>
      <w:pPr>
        <w:ind w:right="20" w:firstLine="588"/>
        <w:spacing w:after="0" w:line="239" w:lineRule="auto"/>
        <w:rPr>
          <w:sz w:val="20"/>
          <w:szCs w:val="20"/>
          <w:color w:val="auto"/>
        </w:rPr>
      </w:pPr>
      <w:r>
        <w:rPr>
          <w:rFonts w:ascii="Times New Roman" w:cs="Times New Roman" w:eastAsia="Times New Roman" w:hAnsi="Times New Roman"/>
          <w:sz w:val="16"/>
          <w:szCs w:val="16"/>
          <w:color w:val="auto"/>
        </w:rPr>
        <w:t>As a financial institution, we are susceptible to fraudulent activity, information security breaches and other cybersecurity-related incidents and attacks that may be committed against us, our customers or key vendors and business partners, which in turn may result in financial losses or increased costs to us, our customers, or our key vendors and business partners, disclosure or misuse of our information or our customer information, theft or misappropriation of assets (including bank or customer funds), privacy breaches against us or our customers, litigation, regulatory enforcement actions, and damage to our reputation. The U.S. government has warned financial institutions of the potential increase in the frequency and severity of malicious cyber-attacks and other activities involving critical infrastructure, specifically including the</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3" w:name="page24"/>
    <w:bookmarkEnd w:id="23"/>
    <w:p>
      <w:pPr>
        <w:spacing w:after="0" w:line="137" w:lineRule="exact"/>
        <w:rPr>
          <w:sz w:val="20"/>
          <w:szCs w:val="20"/>
          <w:color w:val="auto"/>
        </w:rPr>
      </w:pPr>
    </w:p>
    <w:p>
      <w:pPr>
        <w:jc w:val="both"/>
        <w:ind w:right="280"/>
        <w:spacing w:after="0" w:line="243" w:lineRule="auto"/>
        <w:rPr>
          <w:sz w:val="20"/>
          <w:szCs w:val="20"/>
          <w:color w:val="auto"/>
        </w:rPr>
      </w:pPr>
      <w:r>
        <w:rPr>
          <w:rFonts w:ascii="Times New Roman" w:cs="Times New Roman" w:eastAsia="Times New Roman" w:hAnsi="Times New Roman"/>
          <w:sz w:val="16"/>
          <w:szCs w:val="16"/>
          <w:color w:val="auto"/>
        </w:rPr>
        <w:t>financial sector, and has encouraged the banking sector to enhance cyber-defenses, and these risks have increased in connection with the current conflicts involving Ukraine and Russia in Europe and Israel, Hamas and Iran in the Middle East. While CBB has taken measures to protect its own and customer funds and confidential information against cyber-attacks, as well as other malicious activities, there can be no assurance that such measures will be successful in thwarting such attacks and activities.</w:t>
      </w:r>
    </w:p>
    <w:p>
      <w:pPr>
        <w:spacing w:after="0" w:line="131" w:lineRule="exact"/>
        <w:rPr>
          <w:sz w:val="20"/>
          <w:szCs w:val="20"/>
          <w:color w:val="auto"/>
        </w:rPr>
      </w:pPr>
    </w:p>
    <w:p>
      <w:pPr>
        <w:ind w:right="100" w:firstLine="588"/>
        <w:spacing w:after="0" w:line="237" w:lineRule="auto"/>
        <w:rPr>
          <w:sz w:val="20"/>
          <w:szCs w:val="20"/>
          <w:color w:val="auto"/>
        </w:rPr>
      </w:pPr>
      <w:r>
        <w:rPr>
          <w:rFonts w:ascii="Times New Roman" w:cs="Times New Roman" w:eastAsia="Times New Roman" w:hAnsi="Times New Roman"/>
          <w:sz w:val="16"/>
          <w:szCs w:val="16"/>
          <w:color w:val="auto"/>
        </w:rPr>
        <w:t>Information pertaining to us and our clients is maintained, and transactions are executed, such as our online banking or core systems on the networks and systems of ours, our clients and certain of our third party providers. The secure maintenance and transmission of confidential information, as well as execution of transactions over these systems, are essential to protect us and our clients against fraud and security breaches and to maintain our clients’ confidence. In addition, increases in criminal activity levels and sophistication, advances in computer capabilities, new discoveries, vulnerabilities in third-party technologies (including browsers and operating systems) or other developments could result in a compromise or breach of the technology, processes and controls that we use to prevent fraudulent transactions and to protect data about us, our clients and underlying transactions, as well as the technology used by our clients to access our systems. Although we continue to invest in systems and processes that are designed to detect and prevent security breaches and cyber- attacks and periodically test our security, our inability to anticipate, or failure to adequately mitigate, breaches of security could result in, among other things, losses to us or our clients; our loss of business and/or clients; damage to our reputation; the incurrence of additional expenses; disruption to our business; our inability to grow our online services or other businesses; additional regulatory scrutiny or penalties; or our exposure to civil litigation and possible financial liability — any of which could have a material adverse effect on our business, financial condition and results of operations.</w:t>
      </w:r>
    </w:p>
    <w:p>
      <w:pPr>
        <w:spacing w:after="0" w:line="138" w:lineRule="exact"/>
        <w:rPr>
          <w:sz w:val="20"/>
          <w:szCs w:val="20"/>
          <w:color w:val="auto"/>
        </w:rPr>
      </w:pPr>
    </w:p>
    <w:p>
      <w:pPr>
        <w:ind w:right="180" w:firstLine="588"/>
        <w:spacing w:after="0" w:line="247" w:lineRule="auto"/>
        <w:rPr>
          <w:sz w:val="20"/>
          <w:szCs w:val="20"/>
          <w:color w:val="auto"/>
        </w:rPr>
      </w:pPr>
      <w:r>
        <w:rPr>
          <w:rFonts w:ascii="Times New Roman" w:cs="Times New Roman" w:eastAsia="Times New Roman" w:hAnsi="Times New Roman"/>
          <w:sz w:val="16"/>
          <w:szCs w:val="16"/>
          <w:color w:val="auto"/>
        </w:rPr>
        <w:t>More generally, continued publicized information concerning security and cyber-related problems could inhibit the use or growth of electronic or web-based applications or solutions as a means of conducting commercial transactions for us and other financial institutions. Such publicity may also cause damage to our reputation as a financial institution. As a result, our business, financial condition and results of operations could be adversely affected.</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exposed to the risk of changes in technology.</w:t>
      </w:r>
    </w:p>
    <w:p>
      <w:pPr>
        <w:spacing w:after="0" w:line="156" w:lineRule="exact"/>
        <w:rPr>
          <w:sz w:val="20"/>
          <w:szCs w:val="20"/>
          <w:color w:val="auto"/>
        </w:rPr>
      </w:pPr>
    </w:p>
    <w:p>
      <w:pPr>
        <w:ind w:right="100" w:firstLine="588"/>
        <w:spacing w:after="0" w:line="284" w:lineRule="auto"/>
        <w:rPr>
          <w:sz w:val="20"/>
          <w:szCs w:val="20"/>
          <w:color w:val="auto"/>
        </w:rPr>
      </w:pPr>
      <w:r>
        <w:rPr>
          <w:rFonts w:ascii="Times New Roman" w:cs="Times New Roman" w:eastAsia="Times New Roman" w:hAnsi="Times New Roman"/>
          <w:sz w:val="14"/>
          <w:szCs w:val="14"/>
          <w:color w:val="auto"/>
        </w:rPr>
        <w:t>The rapid pace of technology changes and the impact of such changes on financial services generally and on our Company specifically could impact our cost structure and our competitive position with our customers. Such developments include the rapid movement by customers and some competitor financial institutions to web-based services, mobile banking and cloud computing. Our failure or inability to anticipate, plan for or implement technology change could adversely affect our competitive position, financial condition and profitability. In addition, recent regulatory changes proposed by the CFPB regarding the electronic portability of customer banking and other financial information could significantly impact our costs and our ability to protect and secure such information.</w:t>
      </w:r>
    </w:p>
    <w:p>
      <w:pPr>
        <w:spacing w:after="0" w:line="1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controls and procedures could fail or be circumvented.</w:t>
      </w:r>
    </w:p>
    <w:p>
      <w:pPr>
        <w:spacing w:after="0" w:line="156" w:lineRule="exact"/>
        <w:rPr>
          <w:sz w:val="20"/>
          <w:szCs w:val="20"/>
          <w:color w:val="auto"/>
        </w:rPr>
      </w:pPr>
    </w:p>
    <w:p>
      <w:pPr>
        <w:ind w:right="80" w:firstLine="588"/>
        <w:spacing w:after="0" w:line="241" w:lineRule="auto"/>
        <w:rPr>
          <w:sz w:val="20"/>
          <w:szCs w:val="20"/>
          <w:color w:val="auto"/>
        </w:rPr>
      </w:pPr>
      <w:r>
        <w:rPr>
          <w:rFonts w:ascii="Times New Roman" w:cs="Times New Roman" w:eastAsia="Times New Roman" w:hAnsi="Times New Roman"/>
          <w:sz w:val="16"/>
          <w:szCs w:val="16"/>
          <w:color w:val="auto"/>
        </w:rPr>
        <w:t>Management regularly reviews and updates our internal controls, disclosure controls and procedures and corporate governance policies and procedures. Any system of controls, however well designed and operated, is based in part on certain assumptions and on the conduct of individuals, and can provide only reasonable, but not absolute, assurances of the effectiveness of these systems and controls, and that the objectives of these controls have been met. Any failure or circumvention of our controls and procedures, and any failure to comply with regulations related to controls and procedures could adversely affect our business, results of operations and financial condition.</w:t>
      </w:r>
    </w:p>
    <w:p>
      <w:pPr>
        <w:spacing w:after="0" w:line="129" w:lineRule="exact"/>
        <w:rPr>
          <w:sz w:val="20"/>
          <w:szCs w:val="20"/>
          <w:color w:val="auto"/>
        </w:rPr>
      </w:pPr>
    </w:p>
    <w:p>
      <w:pPr>
        <w:ind w:right="6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Failure to maintain effective internal control over financial reporting or disclosure controls and procedures could adversely affect our ability to report our financial condition and results of operations accurately and on a timely basis.</w:t>
      </w:r>
    </w:p>
    <w:p>
      <w:pPr>
        <w:spacing w:after="0" w:line="115" w:lineRule="exact"/>
        <w:rPr>
          <w:sz w:val="20"/>
          <w:szCs w:val="20"/>
          <w:color w:val="auto"/>
        </w:rPr>
      </w:pPr>
    </w:p>
    <w:p>
      <w:pPr>
        <w:ind w:firstLine="588"/>
        <w:spacing w:after="0" w:line="243" w:lineRule="auto"/>
        <w:rPr>
          <w:sz w:val="20"/>
          <w:szCs w:val="20"/>
          <w:color w:val="auto"/>
        </w:rPr>
      </w:pPr>
      <w:r>
        <w:rPr>
          <w:rFonts w:ascii="Times New Roman" w:cs="Times New Roman" w:eastAsia="Times New Roman" w:hAnsi="Times New Roman"/>
          <w:sz w:val="16"/>
          <w:szCs w:val="16"/>
          <w:color w:val="auto"/>
        </w:rPr>
        <w:t>A failure to maintain effective internal control over financial reporting or disclosure controls and procedures could adversely affect our ability to report our financial results accurately and on a timely basis, which could result in a loss of investor confidence in our financial reporting or adversely affect our access to sources of liquidity. Furthermore, because of the inherent limitations of any system of internal control over financial reporting, including the possibility of human error, the circumvention or overriding of controls and fraud, even effective internal controls may not prevent or detect all misstatements.</w:t>
      </w:r>
    </w:p>
    <w:p>
      <w:pPr>
        <w:spacing w:after="0" w:line="127" w:lineRule="exact"/>
        <w:rPr>
          <w:sz w:val="20"/>
          <w:szCs w:val="20"/>
          <w:color w:val="auto"/>
        </w:rPr>
      </w:pPr>
    </w:p>
    <w:p>
      <w:pPr>
        <w:ind w:right="30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rely on communications, information, operating and financial control systems technology from third-party service providers, and we may suffer an interruption in those systems.</w:t>
      </w:r>
    </w:p>
    <w:p>
      <w:pPr>
        <w:spacing w:after="0" w:line="115" w:lineRule="exact"/>
        <w:rPr>
          <w:sz w:val="20"/>
          <w:szCs w:val="20"/>
          <w:color w:val="auto"/>
        </w:rPr>
      </w:pPr>
    </w:p>
    <w:p>
      <w:pPr>
        <w:ind w:right="120" w:firstLine="588"/>
        <w:spacing w:after="0" w:line="259" w:lineRule="auto"/>
        <w:rPr>
          <w:sz w:val="20"/>
          <w:szCs w:val="20"/>
          <w:color w:val="auto"/>
        </w:rPr>
      </w:pPr>
      <w:r>
        <w:rPr>
          <w:rFonts w:ascii="Times New Roman" w:cs="Times New Roman" w:eastAsia="Times New Roman" w:hAnsi="Times New Roman"/>
          <w:sz w:val="16"/>
          <w:szCs w:val="16"/>
          <w:color w:val="auto"/>
        </w:rPr>
        <w:t>We rely heavily on third-party service providers for much of our communications, information, operating and financial control systems technology, including our internet banking services and data processing systems. Any failure or</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 w:name="page25"/>
    <w:bookmarkEnd w:id="24"/>
    <w:p>
      <w:pPr>
        <w:spacing w:after="0" w:line="137"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interruption of these services or systems or breaches in the security of these systems could result in failures or interruptions to serve our customers, including deposit, servicing and/or loan origination systems. The occurrence of any failures or interruptions may require us to identify alternative sources of such services, which may result in increased costs or other consequences that in turn could have an adverse effect on our business, including damage to the Bank’s reputation.</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are dependent on key personnel and the loss of one or more of those key personnel may materially and adversely affect our prospects.</w:t>
      </w:r>
    </w:p>
    <w:p>
      <w:pPr>
        <w:spacing w:after="0" w:line="156" w:lineRule="exact"/>
        <w:rPr>
          <w:sz w:val="20"/>
          <w:szCs w:val="20"/>
          <w:color w:val="auto"/>
        </w:rPr>
      </w:pPr>
    </w:p>
    <w:p>
      <w:pPr>
        <w:ind w:right="40" w:firstLine="588"/>
        <w:spacing w:after="0" w:line="280" w:lineRule="auto"/>
        <w:rPr>
          <w:sz w:val="20"/>
          <w:szCs w:val="20"/>
          <w:color w:val="auto"/>
        </w:rPr>
      </w:pPr>
      <w:r>
        <w:rPr>
          <w:rFonts w:ascii="Times New Roman" w:cs="Times New Roman" w:eastAsia="Times New Roman" w:hAnsi="Times New Roman"/>
          <w:sz w:val="14"/>
          <w:szCs w:val="14"/>
          <w:color w:val="auto"/>
        </w:rPr>
        <w:t>Competition for qualified employees and personnel in the banking industry is intense and there are a limited number of qualified persons with knowledge of, and experience in, the California community banking industry. The process of recruiting personnel with the combination of skills and attributes required to carry out our strategies is often lengthy. In addition, legislation and regulations which impose restrictions on executive compensation may make it more difficult for us to retain and recruit key personnel. Our success depends to a significant degree upon our ability to attract and retain qualified management, loan origination, finance, administrative, risk management, marketing, professional and technical personnel and upon the continued contributions of our management and personnel. In particular, our success has been and continues to be highly dependent upon the abilities of key executives, including our President and Chief Executive Officer, and certain other key employees.</w:t>
      </w:r>
    </w:p>
    <w:p>
      <w:pPr>
        <w:spacing w:after="0" w:line="105" w:lineRule="exact"/>
        <w:rPr>
          <w:sz w:val="20"/>
          <w:szCs w:val="20"/>
          <w:color w:val="auto"/>
        </w:rPr>
      </w:pPr>
    </w:p>
    <w:p>
      <w:pPr>
        <w:ind w:right="60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our enterprise risk management framework is not effective at mitigating risk and loss to us, we could suffer unexpected losses and our results of operations could be materially adversely affected.</w:t>
      </w:r>
    </w:p>
    <w:p>
      <w:pPr>
        <w:spacing w:after="0" w:line="115" w:lineRule="exact"/>
        <w:rPr>
          <w:sz w:val="20"/>
          <w:szCs w:val="20"/>
          <w:color w:val="auto"/>
        </w:rPr>
      </w:pPr>
    </w:p>
    <w:p>
      <w:pPr>
        <w:ind w:right="120" w:firstLine="588"/>
        <w:spacing w:after="0" w:line="284" w:lineRule="auto"/>
        <w:rPr>
          <w:sz w:val="20"/>
          <w:szCs w:val="20"/>
          <w:color w:val="auto"/>
        </w:rPr>
      </w:pPr>
      <w:r>
        <w:rPr>
          <w:rFonts w:ascii="Times New Roman" w:cs="Times New Roman" w:eastAsia="Times New Roman" w:hAnsi="Times New Roman"/>
          <w:sz w:val="14"/>
          <w:szCs w:val="14"/>
          <w:color w:val="auto"/>
        </w:rPr>
        <w:t>Our enterprise risk management framework seeks to achieve an appropriate balance between risk and return, which is critical to optimizing shareholder value. We have established processes and procedures intended to identify, measure, monitor, report and analyze the types of risk to which we are subject, including credit, liquidity, operational, regulatory, compliance, legal and reputational risks. However, as with any risk management framework, there are inherent limitations to our risk management strategies as there may exist, or develop in the future, risks that we have not appropriately managed, anticipated or identified. If our risk management framework proves ineffective, we could suffer unexpected losses and our business and results of operations could be materially adversely affected.</w:t>
      </w:r>
    </w:p>
    <w:p>
      <w:pPr>
        <w:spacing w:after="0" w:line="1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Changes in stock market prices could reduce fee income from our brokerage, asset management and investment advisory businesses.</w:t>
      </w:r>
    </w:p>
    <w:p>
      <w:pPr>
        <w:spacing w:after="0" w:line="156" w:lineRule="exact"/>
        <w:rPr>
          <w:sz w:val="20"/>
          <w:szCs w:val="20"/>
          <w:color w:val="auto"/>
        </w:rPr>
      </w:pPr>
    </w:p>
    <w:p>
      <w:pPr>
        <w:ind w:right="420" w:firstLine="588"/>
        <w:spacing w:after="0" w:line="299" w:lineRule="auto"/>
        <w:rPr>
          <w:sz w:val="20"/>
          <w:szCs w:val="20"/>
          <w:color w:val="auto"/>
        </w:rPr>
      </w:pPr>
      <w:r>
        <w:rPr>
          <w:rFonts w:ascii="Times New Roman" w:cs="Times New Roman" w:eastAsia="Times New Roman" w:hAnsi="Times New Roman"/>
          <w:sz w:val="14"/>
          <w:szCs w:val="14"/>
          <w:color w:val="auto"/>
        </w:rPr>
        <w:t>We earn wealth management fee income for managing assets for our clients and also providing brokerage and investment advisory services. Because investment management and advisory fees are often based on the value of assets under management, a fall in the market prices of those assets could reduce our fee income. Changes in stock market prices could affect the trading activity of investors, reducing commissions and other fees we earn from our brokerage business.</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accounting estimates and risk management processes rely on analytical and forecasting models.</w:t>
      </w:r>
    </w:p>
    <w:p>
      <w:pPr>
        <w:spacing w:after="0" w:line="156"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The processes we use to estimate our expected credit losses and to measure the fair value of financial instruments, as well as the processes used to estimate the effects of changing interest rates and other market measures on our financial condition and results of operations, depends upon the use of analytical and forecasting models. These models reflect assumptions that may not be accurate, particularly in times of market stress or other unforeseen circumstances. Even if these assumptions are adequate, the models may prove to be inadequate or inaccurate because of other flaws in their design or their implementation. If the models we use for interest rate risk and asset-liability management are inadequate, we may incur increased or unexpected losses upon changes in market interest rates or other market measures. If the models we use for determining our expected credit losses are inadequate, the allowance for credit losses may not be sufficient to support future charge-offs. If the models we use to measure the fair value of financial instruments are inadequate, the fair value of such financial instruments may fluctuate unexpectedly or may not accurately reflect what we could realize upon sale or settlement of such financial instruments. Any such failure in our analytical or forecasting models could have a material adverse effect on our business, financial condition and results of operations.</w:t>
      </w:r>
    </w:p>
    <w:p>
      <w:pPr>
        <w:spacing w:after="0" w:line="130" w:lineRule="exact"/>
        <w:rPr>
          <w:sz w:val="20"/>
          <w:szCs w:val="20"/>
          <w:color w:val="auto"/>
        </w:rPr>
      </w:pPr>
    </w:p>
    <w:p>
      <w:pPr>
        <w:ind w:right="52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decisions regarding the fair value of assets acquired could be different than initially estimated, which could materially and adversely affect our business, financial condition, results of operations, and future prospects.</w:t>
      </w:r>
    </w:p>
    <w:p>
      <w:pPr>
        <w:spacing w:after="0" w:line="115" w:lineRule="exact"/>
        <w:rPr>
          <w:sz w:val="20"/>
          <w:szCs w:val="20"/>
          <w:color w:val="auto"/>
        </w:rPr>
      </w:pPr>
    </w:p>
    <w:p>
      <w:pPr>
        <w:jc w:val="both"/>
        <w:ind w:right="60" w:firstLine="588"/>
        <w:spacing w:after="0" w:line="299" w:lineRule="auto"/>
        <w:rPr>
          <w:sz w:val="20"/>
          <w:szCs w:val="20"/>
          <w:color w:val="auto"/>
        </w:rPr>
      </w:pPr>
      <w:r>
        <w:rPr>
          <w:rFonts w:ascii="Times New Roman" w:cs="Times New Roman" w:eastAsia="Times New Roman" w:hAnsi="Times New Roman"/>
          <w:sz w:val="14"/>
          <w:szCs w:val="14"/>
          <w:color w:val="auto"/>
        </w:rPr>
        <w:t>In business combinations, we acquire significant portfolios of loans that are marked to their estimated fair value based on information known to us at the time of the business combination. The fluctuations in national, regional and local economic conditions, including those related to local residential, commercial real estate and construction markets, may increase the level of charge-offs or the allowance for credit losses in the loan portfolio that we acquire and correspondingly reduce our net</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 w:name="page26"/>
    <w:bookmarkEnd w:id="25"/>
    <w:p>
      <w:pPr>
        <w:spacing w:after="0" w:line="13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income. These fluctuations are not predictable, cannot be controlled and may have a material adverse impact on our operations and financial condition, even if other favorable events occur.</w:t>
      </w:r>
    </w:p>
    <w:p>
      <w:pPr>
        <w:spacing w:after="0" w:line="115" w:lineRule="exact"/>
        <w:rPr>
          <w:sz w:val="20"/>
          <w:szCs w:val="20"/>
          <w:color w:val="auto"/>
        </w:rPr>
      </w:pPr>
    </w:p>
    <w:p>
      <w:pPr>
        <w:ind w:right="36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the goodwill that we recorded in connection with business acquisitions becomes impaired, it could require charges to earnings, which would have a negative impact on our financial condition and results of operations.</w:t>
      </w:r>
    </w:p>
    <w:p>
      <w:pPr>
        <w:spacing w:after="0" w:line="115" w:lineRule="exact"/>
        <w:rPr>
          <w:sz w:val="20"/>
          <w:szCs w:val="20"/>
          <w:color w:val="auto"/>
        </w:rPr>
      </w:pPr>
    </w:p>
    <w:p>
      <w:pPr>
        <w:ind w:right="80" w:firstLine="588"/>
        <w:spacing w:after="0" w:line="275" w:lineRule="auto"/>
        <w:rPr>
          <w:sz w:val="20"/>
          <w:szCs w:val="20"/>
          <w:color w:val="auto"/>
        </w:rPr>
      </w:pPr>
      <w:r>
        <w:rPr>
          <w:rFonts w:ascii="Times New Roman" w:cs="Times New Roman" w:eastAsia="Times New Roman" w:hAnsi="Times New Roman"/>
          <w:sz w:val="14"/>
          <w:szCs w:val="14"/>
          <w:color w:val="auto"/>
        </w:rPr>
        <w:t>Goodwill resulting from business combinations represents the excess of the purchase price over the fair value of the net assets of the businesses we acquired. Goodwill has an indefinite useful life and is not amortized, however, it is tested for impairment at least annually, or more frequently, if events and circumstances exist that indicate that the carrying value of the asset might be impaired, including as a result of a decline in our stock price and market capitalization below our stated book value. We determine impairment by comparing the implied fair value of the reporting unit’s goodwill with the carrying amount of that goodwill. Estimates of fair value are determined based on a complex model using, among other things, discounted cash flows, the fair value of our Company as determined by our stock price, and peer company comparisons. Adverse events in the banking sector have caused market volatility and declines in the stock market prices for many community and regional banks from time to time, including the Company’s, resulting in periodic declines in the Company’s market capitalization. If the carrying amount of the reporting unit’s goodwill exceeds the implied fair value of that goodwill, an impairment loss is recognized in an amount equal to that excess. Any such adjustments are reflected in our results of operations in the periods in which they become known. There can be no assurance that our future evaluations of goodwill will not result in findings of impairment and related write-downs, which may have a material adverse effect on our financial condition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and External Risks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Changes in economic, market and political conditions can adversely affect our liquidity, results of operations and financial condition.</w:t>
      </w:r>
    </w:p>
    <w:p>
      <w:pPr>
        <w:spacing w:after="0" w:line="156" w:lineRule="exact"/>
        <w:rPr>
          <w:sz w:val="20"/>
          <w:szCs w:val="20"/>
          <w:color w:val="auto"/>
        </w:rPr>
      </w:pPr>
    </w:p>
    <w:p>
      <w:pPr>
        <w:ind w:right="60" w:firstLine="588"/>
        <w:spacing w:after="0" w:line="238" w:lineRule="auto"/>
        <w:rPr>
          <w:sz w:val="20"/>
          <w:szCs w:val="20"/>
          <w:color w:val="auto"/>
        </w:rPr>
      </w:pPr>
      <w:r>
        <w:rPr>
          <w:rFonts w:ascii="Times New Roman" w:cs="Times New Roman" w:eastAsia="Times New Roman" w:hAnsi="Times New Roman"/>
          <w:sz w:val="16"/>
          <w:szCs w:val="16"/>
          <w:color w:val="auto"/>
        </w:rPr>
        <w:t>Our success depends, to a certain extent, upon local, national and global economic and political conditions, as well as governmental monetary and interest rate policies. Conditions such as an economic recession, rising unemployment, changes in interest rates, money supply, inflationary prices and other factors beyond our control may adversely affect our asset quality, deposit levels loan demand, ability to manage costs associated with employees and vendors and, therefore, our earnings. We are presently subject to macroeconomic and interest rate risk due to domestic and global economic instability that has resulted in higher inflation than the United States has experienced in more than 40 years and resulted in overall increases to prevailing interest rates. The Federal Reserve’s Open Market Committee raised the target range for the federal funds rate to 5.25% to 5.50% in 2023, and then subsequently lowered it to a range of 4.25% to 4.50% in the last few months of 2024, resulting in a cumulative increase of 4.25% from March of 2022. These recent increases in prevailing interest rates and the expectation that interest rates may stay elevated are likely to impact both our customers and many aspects of our business.</w:t>
      </w:r>
    </w:p>
    <w:p>
      <w:pPr>
        <w:spacing w:after="0" w:line="137" w:lineRule="exact"/>
        <w:rPr>
          <w:sz w:val="20"/>
          <w:szCs w:val="20"/>
          <w:color w:val="auto"/>
        </w:rPr>
      </w:pPr>
    </w:p>
    <w:p>
      <w:pPr>
        <w:ind w:right="340" w:firstLine="588"/>
        <w:spacing w:after="0" w:line="259" w:lineRule="auto"/>
        <w:rPr>
          <w:sz w:val="20"/>
          <w:szCs w:val="20"/>
          <w:color w:val="auto"/>
        </w:rPr>
      </w:pPr>
      <w:r>
        <w:rPr>
          <w:rFonts w:ascii="Times New Roman" w:cs="Times New Roman" w:eastAsia="Times New Roman" w:hAnsi="Times New Roman"/>
          <w:sz w:val="16"/>
          <w:szCs w:val="16"/>
          <w:color w:val="auto"/>
        </w:rPr>
        <w:t>In addition, we may face the following risks in connection with any downward turn in the economy or sustained period of higher or lower interest rates or higher inflation rates:</w:t>
      </w:r>
    </w:p>
    <w:p>
      <w:pPr>
        <w:spacing w:after="0" w:line="59" w:lineRule="exact"/>
        <w:rPr>
          <w:sz w:val="20"/>
          <w:szCs w:val="20"/>
          <w:color w:val="auto"/>
        </w:rPr>
      </w:pPr>
    </w:p>
    <w:p>
      <w:pPr>
        <w:ind w:left="480" w:right="180"/>
        <w:spacing w:after="0" w:line="246" w:lineRule="auto"/>
        <w:rPr>
          <w:sz w:val="20"/>
          <w:szCs w:val="20"/>
          <w:color w:val="auto"/>
        </w:rPr>
      </w:pPr>
      <w:r>
        <w:rPr>
          <w:rFonts w:ascii="Times New Roman" w:cs="Times New Roman" w:eastAsia="Times New Roman" w:hAnsi="Times New Roman"/>
          <w:sz w:val="16"/>
          <w:szCs w:val="16"/>
          <w:color w:val="auto"/>
        </w:rPr>
        <w:t>•Higher interest rates will not only impact the interest we receive on loans and investment securities and the amount of interest we pay our depositors, but also could also impact our ability to compete for and grow loans and deposits;</w:t>
      </w:r>
    </w:p>
    <w:p>
      <w:pPr>
        <w:spacing w:after="0" w:line="1" w:lineRule="exact"/>
        <w:rPr>
          <w:sz w:val="20"/>
          <w:szCs w:val="20"/>
          <w:color w:val="auto"/>
        </w:rPr>
      </w:pPr>
    </w:p>
    <w:p>
      <w:pPr>
        <w:ind w:left="480" w:right="20"/>
        <w:spacing w:after="0" w:line="234" w:lineRule="auto"/>
        <w:rPr>
          <w:sz w:val="20"/>
          <w:szCs w:val="20"/>
          <w:color w:val="auto"/>
        </w:rPr>
      </w:pPr>
      <w:r>
        <w:rPr>
          <w:rFonts w:ascii="Times New Roman" w:cs="Times New Roman" w:eastAsia="Times New Roman" w:hAnsi="Times New Roman"/>
          <w:sz w:val="16"/>
          <w:szCs w:val="16"/>
          <w:color w:val="auto"/>
        </w:rPr>
        <w:t>•Rising interest rates, higher commodity prices, and an overall slowdown in economic growth could also impact the fair value of our assets and adversely impact our asset quality;</w:t>
      </w:r>
    </w:p>
    <w:p>
      <w:pPr>
        <w:spacing w:after="0" w:line="1" w:lineRule="exact"/>
        <w:rPr>
          <w:sz w:val="20"/>
          <w:szCs w:val="20"/>
          <w:color w:val="auto"/>
        </w:rPr>
      </w:pPr>
    </w:p>
    <w:p>
      <w:pPr>
        <w:jc w:val="both"/>
        <w:ind w:left="480" w:right="300"/>
        <w:spacing w:after="0" w:line="234" w:lineRule="auto"/>
        <w:rPr>
          <w:sz w:val="20"/>
          <w:szCs w:val="20"/>
          <w:color w:val="auto"/>
        </w:rPr>
      </w:pPr>
      <w:r>
        <w:rPr>
          <w:rFonts w:ascii="Times New Roman" w:cs="Times New Roman" w:eastAsia="Times New Roman" w:hAnsi="Times New Roman"/>
          <w:sz w:val="16"/>
          <w:szCs w:val="16"/>
          <w:color w:val="auto"/>
        </w:rPr>
        <w:t>•The process we use to estimate losses inherent in our credit exposure requires difficult, subjective and complex judgments, including forecasts of economic conditions and how these economic conditions might impair the ability of our borrowers to repay their loans. The level of uncertainty concerning economic conditions may adversely affect the accuracy of our estimates which may, in turn, impact the reliability of the estimation process;</w:t>
      </w:r>
    </w:p>
    <w:p>
      <w:pPr>
        <w:spacing w:after="0" w:line="2" w:lineRule="exact"/>
        <w:rPr>
          <w:sz w:val="20"/>
          <w:szCs w:val="20"/>
          <w:color w:val="auto"/>
        </w:rPr>
      </w:pPr>
    </w:p>
    <w:p>
      <w:pPr>
        <w:ind w:left="480"/>
        <w:spacing w:after="0" w:line="234" w:lineRule="auto"/>
        <w:rPr>
          <w:sz w:val="20"/>
          <w:szCs w:val="20"/>
          <w:color w:val="auto"/>
        </w:rPr>
      </w:pPr>
      <w:r>
        <w:rPr>
          <w:rFonts w:ascii="Times New Roman" w:cs="Times New Roman" w:eastAsia="Times New Roman" w:hAnsi="Times New Roman"/>
          <w:sz w:val="16"/>
          <w:szCs w:val="16"/>
          <w:color w:val="auto"/>
        </w:rPr>
        <w:t>•The Company’s commercial, residential and consumer borrowers may be unable to make timely repayments of their loans, or the decrease in value of real estate collateral securing the payment of such loans could result in significant credit losses, increasing delinquencies, foreclosures and customer bankruptcies, any of which could have a material adverse effect on the Company’s operating results;</w:t>
      </w:r>
    </w:p>
    <w:p>
      <w:pPr>
        <w:spacing w:after="0" w:line="2" w:lineRule="exact"/>
        <w:rPr>
          <w:sz w:val="20"/>
          <w:szCs w:val="20"/>
          <w:color w:val="auto"/>
        </w:rPr>
      </w:pPr>
    </w:p>
    <w:p>
      <w:pPr>
        <w:ind w:left="480" w:right="20"/>
        <w:spacing w:after="0" w:line="234" w:lineRule="auto"/>
        <w:rPr>
          <w:sz w:val="20"/>
          <w:szCs w:val="20"/>
          <w:color w:val="auto"/>
        </w:rPr>
      </w:pPr>
      <w:r>
        <w:rPr>
          <w:rFonts w:ascii="Times New Roman" w:cs="Times New Roman" w:eastAsia="Times New Roman" w:hAnsi="Times New Roman"/>
          <w:sz w:val="16"/>
          <w:szCs w:val="16"/>
          <w:color w:val="auto"/>
        </w:rPr>
        <w:t>•A sustained environment in which the U.S. Treasury yield curve is inverted could cause net interest margins to compress, as the majority of our funding sources are impacted by short-term rates, while much of our earning assets are impacted by longer term interest rates;</w:t>
      </w:r>
    </w:p>
    <w:p>
      <w:pPr>
        <w:spacing w:after="0" w:line="1" w:lineRule="exact"/>
        <w:rPr>
          <w:sz w:val="20"/>
          <w:szCs w:val="20"/>
          <w:color w:val="auto"/>
        </w:rPr>
      </w:pPr>
    </w:p>
    <w:p>
      <w:pPr>
        <w:jc w:val="center"/>
        <w:ind w:right="420"/>
        <w:spacing w:after="0" w:line="361" w:lineRule="auto"/>
        <w:rPr>
          <w:sz w:val="20"/>
          <w:szCs w:val="20"/>
          <w:color w:val="auto"/>
        </w:rPr>
      </w:pPr>
      <w:r>
        <w:rPr>
          <w:rFonts w:ascii="Times New Roman" w:cs="Times New Roman" w:eastAsia="Times New Roman" w:hAnsi="Times New Roman"/>
          <w:sz w:val="16"/>
          <w:szCs w:val="16"/>
          <w:color w:val="auto"/>
        </w:rPr>
        <w:t>•The value of the portfolio of investment securities that we hold may be adversely affected by increasing interest rates and defaults by debtors; and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6" w:name="page27"/>
    <w:bookmarkEnd w:id="26"/>
    <w:p>
      <w:pPr>
        <w:ind w:left="480" w:right="120"/>
        <w:spacing w:after="0" w:line="259" w:lineRule="auto"/>
        <w:rPr>
          <w:sz w:val="20"/>
          <w:szCs w:val="20"/>
          <w:color w:val="auto"/>
        </w:rPr>
      </w:pPr>
      <w:r>
        <w:rPr>
          <w:rFonts w:ascii="Times New Roman" w:cs="Times New Roman" w:eastAsia="Times New Roman" w:hAnsi="Times New Roman"/>
          <w:sz w:val="16"/>
          <w:szCs w:val="16"/>
          <w:color w:val="auto"/>
        </w:rPr>
        <w:t>•Further disruptions in the capital markets or other events, including actions by rating agencies and deteriorating investor expectations, may result in changes in applicable rates of interest, difficulty in accessing capital or an inability to borrow on favorable terms or at all from other financial institutions.</w:t>
      </w:r>
    </w:p>
    <w:p>
      <w:pPr>
        <w:spacing w:after="0" w:line="119" w:lineRule="exact"/>
        <w:rPr>
          <w:sz w:val="20"/>
          <w:szCs w:val="20"/>
          <w:color w:val="auto"/>
        </w:rPr>
      </w:pPr>
    </w:p>
    <w:p>
      <w:pPr>
        <w:ind w:right="40" w:firstLine="588"/>
        <w:spacing w:after="0" w:line="280" w:lineRule="auto"/>
        <w:rPr>
          <w:sz w:val="20"/>
          <w:szCs w:val="20"/>
          <w:color w:val="auto"/>
        </w:rPr>
      </w:pPr>
      <w:r>
        <w:rPr>
          <w:rFonts w:ascii="Times New Roman" w:cs="Times New Roman" w:eastAsia="Times New Roman" w:hAnsi="Times New Roman"/>
          <w:sz w:val="14"/>
          <w:szCs w:val="14"/>
          <w:color w:val="auto"/>
        </w:rPr>
        <w:t>Although the Company and the Bank currently exceed the minimum capital ratio requirements to be deemed “well-capitalized” for regulatory purposes and have not suffered any significant liquidity issues as a result of these types of events, the cost and availability of funds may be adversely affected by illiquid credit markets and the demand for our products and services may decline if we experience slower than expected economic growth or higher rates of unemployment. In view of the concentration of our operations and the collateral securing our loan portfolio in Central and Southern California, we may be particularly susceptible to adverse economic conditions in the state of California, where our business is concentrated. In addition, adverse economic conditions may exacerbate our exposure to credit risk and adversely affect the ability of borrowers to perform, and thereby, adversely affect our liquidity, financial condition, results or operations and profitability.</w:t>
      </w:r>
    </w:p>
    <w:p>
      <w:pPr>
        <w:spacing w:after="0" w:line="1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earnings are significantly affected by the fiscal and monetary policies of the federal government and its agencies.</w:t>
      </w:r>
    </w:p>
    <w:p>
      <w:pPr>
        <w:spacing w:after="0" w:line="156" w:lineRule="exact"/>
        <w:rPr>
          <w:sz w:val="20"/>
          <w:szCs w:val="20"/>
          <w:color w:val="auto"/>
        </w:rPr>
      </w:pPr>
    </w:p>
    <w:p>
      <w:pPr>
        <w:ind w:right="20" w:firstLine="588"/>
        <w:spacing w:after="0" w:line="239" w:lineRule="auto"/>
        <w:rPr>
          <w:sz w:val="20"/>
          <w:szCs w:val="20"/>
          <w:color w:val="auto"/>
        </w:rPr>
      </w:pPr>
      <w:r>
        <w:rPr>
          <w:rFonts w:ascii="Times New Roman" w:cs="Times New Roman" w:eastAsia="Times New Roman" w:hAnsi="Times New Roman"/>
          <w:sz w:val="16"/>
          <w:szCs w:val="16"/>
          <w:color w:val="auto"/>
        </w:rPr>
        <w:t>The policies of the Federal Reserve impact us significantly. Its policies directly and indirectly influence the rate of interest earned on loans and paid on borrowings and interest-bearing deposits and can also affect the value of financial instruments we hold. Changes in those policies are beyond our control and are difficult to predict. Federal Reserve policies can also affect our borrowers, potentially increasing the risk that they may fail to repay their loans. As an example, monetary tightening and increases in the federal funds rate by the Federal Reserve could adversely affect our borrowers’ earnings and ability to repay their loans, which could have a material adverse effect on our financial condition and results of operations. In addition, the Federal Reserve’s recent actions to reduce its own balance sheet of government and mortgage-backed securities could impact the credit markets and thus prevailing interest rates.</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Future legislation, regulatory reform or policy changes could have a material effect on our business and results of operations.</w:t>
      </w:r>
    </w:p>
    <w:p>
      <w:pPr>
        <w:spacing w:after="0" w:line="156" w:lineRule="exact"/>
        <w:rPr>
          <w:sz w:val="20"/>
          <w:szCs w:val="20"/>
          <w:color w:val="auto"/>
        </w:rPr>
      </w:pPr>
    </w:p>
    <w:p>
      <w:pPr>
        <w:ind w:right="100" w:firstLine="588"/>
        <w:spacing w:after="0" w:line="247" w:lineRule="auto"/>
        <w:rPr>
          <w:sz w:val="20"/>
          <w:szCs w:val="20"/>
          <w:color w:val="auto"/>
        </w:rPr>
      </w:pPr>
      <w:r>
        <w:rPr>
          <w:rFonts w:ascii="Times New Roman" w:cs="Times New Roman" w:eastAsia="Times New Roman" w:hAnsi="Times New Roman"/>
          <w:sz w:val="16"/>
          <w:szCs w:val="16"/>
          <w:color w:val="auto"/>
        </w:rPr>
        <w:t>New legislation, regulatory reform or policy changes, including financial services regulatory reform, enforcement priorities, antitrust and merger review policies, and increased infrastructure spending, could adversely impact our business. At this time, we cannot predict the scope or nature of these changes or assess what the overall effect of such potential changes could be on our results of operations or cash flows.</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face strong competition from financial services companies and other companies that offer banking services.</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We conduct most of our operations in the state of California. The banking and financial services businesses in the state of California are highly competitive and increased competition in our primary market areas may adversely impact the level of our loans and deposits. Ultimately, we may not be able to compete successfully against current and future competitors. These competitors include other banks many of which are larger than us and have greater resources. We also face competition from other types of financial institutions, including savings and loan associations, finance companies, brokerage firms, insurance companies, credit unions, mortgage companies and other financial intermediaries. In addition, we face competition from certain non-traditional entities, including “FinTech” companies which specialize in the provision of technology-based financial services, such as payment processing and lending marketplaces, and which may offer or be perceived to offer more responsive or currently desirable financial products and services.</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Consumers may decide not to use banks to complete their financial transactions.</w:t>
      </w:r>
    </w:p>
    <w:p>
      <w:pPr>
        <w:spacing w:after="0" w:line="156"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Technology and other changes are allowing parties to complete financial transactions through alternative methods that historically have involved banks. For example, consumers can now maintain funds that would have historically been held as bank deposits in brokerage accounts, mutual funds or general-purpose reloadable prepaid cards. Consumers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The loss of these revenue streams and a lower level of low-cost deposits as a source of funds could have a material adverse effect on our financial condition and results of operations.</w:t>
      </w:r>
    </w:p>
    <w:p>
      <w:pPr>
        <w:spacing w:after="0" w:line="133" w:lineRule="exact"/>
        <w:rPr>
          <w:sz w:val="20"/>
          <w:szCs w:val="20"/>
          <w:color w:val="auto"/>
        </w:rPr>
      </w:pPr>
    </w:p>
    <w:p>
      <w:pPr>
        <w:ind w:right="20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Potential downgrades of U.S. government securities or the securities of U.S. government-sponsored entities by one or more of the credit ratings agencies could have a material adverse effect on our operations, earnings, and financial condition.</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27" w:name="page28"/>
    <w:bookmarkEnd w:id="27"/>
    <w:p>
      <w:pPr>
        <w:spacing w:after="0" w:line="137" w:lineRule="exact"/>
        <w:rPr>
          <w:sz w:val="20"/>
          <w:szCs w:val="20"/>
          <w:color w:val="auto"/>
        </w:rPr>
      </w:pPr>
    </w:p>
    <w:p>
      <w:pPr>
        <w:ind w:right="20" w:firstLine="588"/>
        <w:spacing w:after="0" w:line="239" w:lineRule="auto"/>
        <w:rPr>
          <w:sz w:val="20"/>
          <w:szCs w:val="20"/>
          <w:color w:val="auto"/>
        </w:rPr>
      </w:pPr>
      <w:r>
        <w:rPr>
          <w:rFonts w:ascii="Times New Roman" w:cs="Times New Roman" w:eastAsia="Times New Roman" w:hAnsi="Times New Roman"/>
          <w:sz w:val="16"/>
          <w:szCs w:val="16"/>
          <w:color w:val="auto"/>
        </w:rPr>
        <w:t>Any possible future downgrade of the sovereign credit ratings of the U.S. government and a decline in the perceived creditworthiness of U.S. government-related obligations could impact our ability to obtain funding that is collateralized by affected instruments, as well as affect the pricing of that funding when it is available. A downgrade may also adversely affect the market value of such instruments. We cannot predict if, when or how any changes to the credit ratings or perceived creditworthiness of these organizations will affect economic conditions. Among other things, a downgrade in the U.S. government’s credit rating could adversely impact the value of our securities portfolio and may trigger requirements that we post additional collateral for trades relative to these securities. A downgrade of the sovereign credit ratings of the U.S. government or the credit ratings of related institutions, agencies or instruments would significantly exacerbate the other risks to which we are subject and any related adverse effects on our business, financial condition and results of operations.</w:t>
      </w:r>
    </w:p>
    <w:p>
      <w:pPr>
        <w:spacing w:after="0" w:line="134" w:lineRule="exact"/>
        <w:rPr>
          <w:sz w:val="20"/>
          <w:szCs w:val="20"/>
          <w:color w:val="auto"/>
        </w:rPr>
      </w:pPr>
    </w:p>
    <w:p>
      <w:pPr>
        <w:ind w:right="160" w:firstLine="588"/>
        <w:spacing w:after="0" w:line="241" w:lineRule="auto"/>
        <w:rPr>
          <w:sz w:val="20"/>
          <w:szCs w:val="20"/>
          <w:color w:val="auto"/>
        </w:rPr>
      </w:pPr>
      <w:r>
        <w:rPr>
          <w:rFonts w:ascii="Times New Roman" w:cs="Times New Roman" w:eastAsia="Times New Roman" w:hAnsi="Times New Roman"/>
          <w:sz w:val="16"/>
          <w:szCs w:val="16"/>
          <w:color w:val="auto"/>
        </w:rPr>
        <w:t>Recent proposals for reforms to government-sponsored enterprises, such as Fannie Mae and Freddie Mac, including proposals to privatize such entities, could also negatively affect the credit ratings of bonds that such entities have previously issued and that are currently held in our securities portfolio. Any credit ratings downgrades of one or more of these government -sponsored enterprises could in turn adversely impact the value of our securities portfolio and the regulatory risk-weightings assigned to these assets. The effects of these credit rating downgrades to lower asset values and increase risk-weighted assets could negatively impact our capital and capital ratios and exacerbate other risks to which we are subject in the same manner described above.</w:t>
      </w:r>
    </w:p>
    <w:p>
      <w:pPr>
        <w:spacing w:after="0" w:line="1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Climate change and climate change regulation could have a material adverse effect on us and our customers.</w:t>
      </w:r>
    </w:p>
    <w:p>
      <w:pPr>
        <w:spacing w:after="0" w:line="156" w:lineRule="exact"/>
        <w:rPr>
          <w:sz w:val="20"/>
          <w:szCs w:val="20"/>
          <w:color w:val="auto"/>
        </w:rPr>
      </w:pPr>
    </w:p>
    <w:p>
      <w:pPr>
        <w:ind w:right="160" w:firstLine="588"/>
        <w:spacing w:after="0" w:line="241" w:lineRule="auto"/>
        <w:rPr>
          <w:sz w:val="20"/>
          <w:szCs w:val="20"/>
          <w:color w:val="auto"/>
        </w:rPr>
      </w:pPr>
      <w:r>
        <w:rPr>
          <w:rFonts w:ascii="Times New Roman" w:cs="Times New Roman" w:eastAsia="Times New Roman" w:hAnsi="Times New Roman"/>
          <w:sz w:val="16"/>
          <w:szCs w:val="16"/>
          <w:color w:val="auto"/>
        </w:rPr>
        <w:t>Our business, as well as the operations and activities of certain of our banking customers, could be negatively impacted by climate change. Climate change presents multi-faceted risks, including operational risk from the physical effects of climate events on our bank and our customers’ facilities and other assets, including the enhanced risks of drought or wildfires, credit risk from borrowers with significant exposure to climate risk, particularly our customers in the dairy and agricultural sectors, transition risks associated with the transition to a less carbon-dependent economy, and possible reputational risk from stakeholder concerns about our practices and business relationships with clients who operate in carbon-intensive industries.</w:t>
      </w:r>
    </w:p>
    <w:p>
      <w:pPr>
        <w:spacing w:after="0" w:line="133" w:lineRule="exact"/>
        <w:rPr>
          <w:sz w:val="20"/>
          <w:szCs w:val="20"/>
          <w:color w:val="auto"/>
        </w:rPr>
      </w:pPr>
    </w:p>
    <w:p>
      <w:pPr>
        <w:ind w:right="120" w:firstLine="588"/>
        <w:spacing w:after="0" w:line="241" w:lineRule="auto"/>
        <w:rPr>
          <w:sz w:val="20"/>
          <w:szCs w:val="20"/>
          <w:color w:val="auto"/>
        </w:rPr>
      </w:pPr>
      <w:r>
        <w:rPr>
          <w:rFonts w:ascii="Times New Roman" w:cs="Times New Roman" w:eastAsia="Times New Roman" w:hAnsi="Times New Roman"/>
          <w:sz w:val="16"/>
          <w:szCs w:val="16"/>
          <w:color w:val="auto"/>
        </w:rPr>
        <w:t>Additionally, federal and state banking regulators and supervisory authorities, investors, and other stakeholders have increasingly viewed financial institutions as important in helping to address the risks related to climate change, both directly and with respect to their clients, which may result in financial institutions coming under increased scrutiny regarding the disclosure and management of their climate risks and related lending and investment activities, including in the context of stress testing for various climate stress scenarios. Ongoing legislative or regulatory uncertainties and changes regarding climate risk management and practices may result in higher regulatory, compliance, credit, and reputational risks and costs, particularly in our home state of California.</w:t>
      </w:r>
    </w:p>
    <w:p>
      <w:pPr>
        <w:spacing w:after="0" w:line="1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Public Health Risks</w:t>
      </w:r>
    </w:p>
    <w:p>
      <w:pPr>
        <w:spacing w:after="0" w:line="156" w:lineRule="exact"/>
        <w:rPr>
          <w:sz w:val="20"/>
          <w:szCs w:val="20"/>
          <w:color w:val="auto"/>
        </w:rPr>
      </w:pPr>
    </w:p>
    <w:p>
      <w:pPr>
        <w:ind w:right="120" w:firstLine="588"/>
        <w:spacing w:after="0" w:line="243" w:lineRule="auto"/>
        <w:rPr>
          <w:sz w:val="20"/>
          <w:szCs w:val="20"/>
          <w:color w:val="auto"/>
        </w:rPr>
      </w:pPr>
      <w:r>
        <w:rPr>
          <w:rFonts w:ascii="Times New Roman" w:cs="Times New Roman" w:eastAsia="Times New Roman" w:hAnsi="Times New Roman"/>
          <w:sz w:val="16"/>
          <w:szCs w:val="16"/>
          <w:color w:val="auto"/>
        </w:rPr>
        <w:t>We face a wide variety of risks related to public health crises, epidemics, pandemics or similar events. If a new health epidemic or outbreak were to occur, we could experience broad and varied effects similar to the impact of COVID-19 during 2020-2023, including adverse impacts to our workforce, branch offices, customers and vendors, as well as potential inflationary pressures and increased costs, the impact of reductions in overall economic activity, market volatility and other financial ramifications. If any of these were to occur, our future results and performance could be adversely impacted.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Regulatory, Compliance and Reputational Risks</w:t>
      </w:r>
    </w:p>
    <w:p>
      <w:pPr>
        <w:spacing w:after="0" w:line="150" w:lineRule="exact"/>
        <w:rPr>
          <w:sz w:val="20"/>
          <w:szCs w:val="20"/>
          <w:color w:val="auto"/>
        </w:rPr>
      </w:pPr>
    </w:p>
    <w:p>
      <w:pPr>
        <w:ind w:right="24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extensive government regulation that could limit or restrict our activities, which, in turn, may hamper our ability to increase our assets and earnings.</w:t>
      </w:r>
    </w:p>
    <w:p>
      <w:pPr>
        <w:spacing w:after="0" w:line="115"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Our operations are subject to extensive regulation by federal, state and local governmental authorities, including the FDIC, FRB, DFPI and CFPB, and we are subject to various laws and judicial and administrative decisions imposing requirements and restrictions on part or all of our operations. Similarly, the lending, credit and deposit products we offer are subject to broad oversight and regulation. Because our business is highly regulated, the laws, rules, regulations and supervisory guidance and policies applicable to us are subject to regular modification and change. Perennially, various laws, rules and regulations are proposed, which, if adopted, could impact our operations by making compliance much more difficult or expensive, restricting our ability to originate or sell loans or further restricting the amount of interest or other charges or fees earned on loans or other products.</w:t>
      </w:r>
    </w:p>
    <w:p>
      <w:pPr>
        <w:spacing w:after="0" w:line="137" w:lineRule="exact"/>
        <w:rPr>
          <w:sz w:val="20"/>
          <w:szCs w:val="20"/>
          <w:color w:val="auto"/>
        </w:rPr>
      </w:pPr>
    </w:p>
    <w:p>
      <w:pPr>
        <w:ind w:right="160" w:firstLine="588"/>
        <w:spacing w:after="0" w:line="259" w:lineRule="auto"/>
        <w:rPr>
          <w:sz w:val="20"/>
          <w:szCs w:val="20"/>
          <w:color w:val="auto"/>
        </w:rPr>
      </w:pPr>
      <w:r>
        <w:rPr>
          <w:rFonts w:ascii="Times New Roman" w:cs="Times New Roman" w:eastAsia="Times New Roman" w:hAnsi="Times New Roman"/>
          <w:sz w:val="16"/>
          <w:szCs w:val="16"/>
          <w:color w:val="auto"/>
        </w:rPr>
        <w:t>Current and future federal and state legal and regulatory requirements, restrictions and regulations, including those imposed under Dodd-Frank, those relating to climate-related disclosure, corporate governance, and those adopted to facilitate</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8" w:name="page29"/>
    <w:bookmarkEnd w:id="28"/>
    <w:p>
      <w:pPr>
        <w:spacing w:after="0" w:line="13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data privacy or consumer protection, may adversely impact our profitability and may have a material and adverse effect on our business, financial condition, and results of operations, may require us to invest significant management attention and resources to evaluate and make any changes required by the legislation and accompanying rules, and may make it more difficult for us to attract and retain qualified executive officers and employees. The implementation of certain final Dodd-Frank rules is delayed or phased in over several years; therefore, as yet we cannot definitively assess what may be the short or longer term specific or aggregate effect of the full implementation of Dodd-Frank on us.</w:t>
      </w:r>
    </w:p>
    <w:p>
      <w:pPr>
        <w:spacing w:after="0" w:line="133" w:lineRule="exact"/>
        <w:rPr>
          <w:sz w:val="20"/>
          <w:szCs w:val="20"/>
          <w:color w:val="auto"/>
        </w:rPr>
      </w:pPr>
    </w:p>
    <w:p>
      <w:pPr>
        <w:ind w:right="20" w:firstLine="588"/>
        <w:spacing w:after="0" w:line="247" w:lineRule="auto"/>
        <w:rPr>
          <w:sz w:val="20"/>
          <w:szCs w:val="20"/>
          <w:color w:val="auto"/>
        </w:rPr>
      </w:pPr>
      <w:r>
        <w:rPr>
          <w:rFonts w:ascii="Times New Roman" w:cs="Times New Roman" w:eastAsia="Times New Roman" w:hAnsi="Times New Roman"/>
          <w:sz w:val="16"/>
          <w:szCs w:val="16"/>
          <w:color w:val="auto"/>
        </w:rPr>
        <w:t>We expect the new Trump administration will seek to implement a regulatory reform agenda that is significantly different than that of the Biden administration, thereby impacting the rulemaking, supervision, examination and enforcement priorities of the federal banking agencies, although the effects of any such changes on our business, operations, financial position or results of operations cannot be quantified at this time.</w:t>
      </w:r>
    </w:p>
    <w:p>
      <w:pPr>
        <w:spacing w:after="0" w:line="124" w:lineRule="exact"/>
        <w:rPr>
          <w:sz w:val="20"/>
          <w:szCs w:val="20"/>
          <w:color w:val="auto"/>
        </w:rPr>
      </w:pPr>
    </w:p>
    <w:p>
      <w:pPr>
        <w:ind w:right="42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Any enhanced regulatory examination scrutiny or new regulatory requirements arising from recent events in the banking industry could increase the Company’s expenses and affect the Company’s operations and acquisition opportunities.</w:t>
      </w:r>
    </w:p>
    <w:p>
      <w:pPr>
        <w:spacing w:after="0" w:line="115"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Recent adverse events in the banking industry, including the significant bank failures that occurred in 2023, have resulted in increased regulatory scrutiny in the course of routine examinations and otherwise, and could result in additional new regulations being directed towards regional banks, designed to address the recent negative developments in the banking industry. These potential regulatory reactions could increase the Company’s costs of doing business, lead to an increased risk of regulatory oversight actions or restrictions, result in decreased regulatory support for merger and acquisition activity, and reduce our profitability. Among other things, there may be an increased focus by both regulators and investors on deposit composition, levels of uninsured deposits, embedded interest rate risk on bank balance sheets, and bank risk management programs generally. As a primarily commercial bank, the Bank has a relatively higher percentage of uninsured deposits compared to larger national banks or smaller community banks with a stronger focus on retail deposits. As a result, the Bank could face increased scrutiny or be viewed as higher risk by regulators and the investor community.</w:t>
      </w:r>
    </w:p>
    <w:p>
      <w:pPr>
        <w:spacing w:after="0" w:line="137" w:lineRule="exact"/>
        <w:rPr>
          <w:sz w:val="20"/>
          <w:szCs w:val="20"/>
          <w:color w:val="auto"/>
        </w:rPr>
      </w:pPr>
    </w:p>
    <w:p>
      <w:pPr>
        <w:ind w:right="360" w:firstLine="588"/>
        <w:spacing w:after="0" w:line="299" w:lineRule="auto"/>
        <w:rPr>
          <w:sz w:val="20"/>
          <w:szCs w:val="20"/>
          <w:color w:val="auto"/>
        </w:rPr>
      </w:pPr>
      <w:r>
        <w:rPr>
          <w:rFonts w:ascii="Times New Roman" w:cs="Times New Roman" w:eastAsia="Times New Roman" w:hAnsi="Times New Roman"/>
          <w:sz w:val="14"/>
          <w:szCs w:val="14"/>
          <w:color w:val="auto"/>
        </w:rPr>
        <w:t>As one example of regulatory reactions to the bank failures that occurred in 2023, the FDIC imposed a special assessment on certain financial institutions, including our Bank, to recover associated losses to the FDIC’s Deposit Insurance Fund, based on the levels of uninsured deposits maintained by such financial institutions. It is possible that the Bank could be subject to similar assessments in the future which would adversely affect our costs and profitability.</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face a risk of noncompliance and enforcement action with the Bank Secrecy Act and other anti-money laundering statutes and regulations.</w:t>
      </w:r>
    </w:p>
    <w:p>
      <w:pPr>
        <w:spacing w:after="0" w:line="156" w:lineRule="exact"/>
        <w:rPr>
          <w:sz w:val="20"/>
          <w:szCs w:val="20"/>
          <w:color w:val="auto"/>
        </w:rPr>
      </w:pPr>
    </w:p>
    <w:p>
      <w:pPr>
        <w:ind w:right="80" w:firstLine="588"/>
        <w:spacing w:after="0" w:line="238" w:lineRule="auto"/>
        <w:rPr>
          <w:sz w:val="20"/>
          <w:szCs w:val="20"/>
          <w:color w:val="auto"/>
        </w:rPr>
      </w:pPr>
      <w:r>
        <w:rPr>
          <w:rFonts w:ascii="Times New Roman" w:cs="Times New Roman" w:eastAsia="Times New Roman" w:hAnsi="Times New Roman"/>
          <w:sz w:val="16"/>
          <w:szCs w:val="16"/>
          <w:color w:val="auto"/>
        </w:rPr>
        <w:t>The Bank Secrecy Act, the USA PATRIOT Act of 2001, and other laws and regulations require financial institutions, among other duties, to institute and maintain an effective anti-money laundering program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banking regulators, as well as the U.S. Department of Justice, Drug Enforcement Administration, and Internal Revenue Service. We are also subject to scrutiny of compliance with the rules enforced by the Office of Foreign Assets Control and compliance with the Foreign Corrupt Practices Act. If our policies, procedures and systems are deemed deficient, we would be subject to liability, including fines and regulatory actions, which may include restrictions on our ability to pay dividends and the necessity to obtain regulatory approvals to proceed with certain aspects of our business plans. Failure to maintain and implement adequate programs to combat money laundering and terrorist financing could also have serious reputational consequences for us. Any of these results could materially and adversely affect our business, financial condition and results of operations.</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The impact of current capital rules may materially affect our operations.</w:t>
      </w:r>
    </w:p>
    <w:p>
      <w:pPr>
        <w:spacing w:after="0" w:line="156" w:lineRule="exact"/>
        <w:rPr>
          <w:sz w:val="20"/>
          <w:szCs w:val="20"/>
          <w:color w:val="auto"/>
        </w:rPr>
      </w:pPr>
    </w:p>
    <w:p>
      <w:pPr>
        <w:ind w:right="140" w:firstLine="588"/>
        <w:spacing w:after="0" w:line="247" w:lineRule="auto"/>
        <w:rPr>
          <w:sz w:val="20"/>
          <w:szCs w:val="20"/>
          <w:color w:val="auto"/>
        </w:rPr>
      </w:pPr>
      <w:r>
        <w:rPr>
          <w:rFonts w:ascii="Times New Roman" w:cs="Times New Roman" w:eastAsia="Times New Roman" w:hAnsi="Times New Roman"/>
          <w:sz w:val="16"/>
          <w:szCs w:val="16"/>
          <w:color w:val="auto"/>
        </w:rPr>
        <w:t>We are subject to stringent capital requirements. These current capital rules may adversely affect our ability to pay dividends, or require us to reduce business levels or raise capital, including in ways that may adversely affect our business, liquidity, financial condition and results of operations. Any future regulatory capital requirements may similarly adversely affect us.</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9" w:name="page30"/>
    <w:bookmarkEnd w:id="29"/>
    <w:p>
      <w:pPr>
        <w:spacing w:after="0" w:line="137" w:lineRule="exact"/>
        <w:rPr>
          <w:sz w:val="20"/>
          <w:szCs w:val="20"/>
          <w:color w:val="auto"/>
        </w:rPr>
      </w:pPr>
    </w:p>
    <w:p>
      <w:pPr>
        <w:ind w:right="80" w:firstLine="600"/>
        <w:spacing w:after="0" w:line="241" w:lineRule="auto"/>
        <w:rPr>
          <w:sz w:val="20"/>
          <w:szCs w:val="20"/>
          <w:color w:val="auto"/>
        </w:rPr>
      </w:pPr>
      <w:r>
        <w:rPr>
          <w:rFonts w:ascii="Times New Roman" w:cs="Times New Roman" w:eastAsia="Times New Roman" w:hAnsi="Times New Roman"/>
          <w:sz w:val="16"/>
          <w:szCs w:val="16"/>
          <w:color w:val="auto"/>
        </w:rPr>
        <w:t>Under the current capital standards, if our Common Equity Tier 1 Capital does not include the required “capital conservation buffer,” we will be prohibited from paying dividends to our shareholders. The capital conservation buffer requirement, which is measured in addition to the minimum Common Equity Tier 1 capital of 4.5%, is now 2.5%. Additionally, under the capital standards, if our Common Equity Tier 1 Capital does not include the “capital conservation buffer,” we will also be prohibited from paying discretionary bonuses to our executive employees. This may affect our ability to attract or retain employees, or could alter the nature of the compensation arrangements that we may enter into with them.</w:t>
      </w:r>
    </w:p>
    <w:p>
      <w:pPr>
        <w:spacing w:after="0" w:line="129" w:lineRule="exact"/>
        <w:rPr>
          <w:sz w:val="20"/>
          <w:szCs w:val="20"/>
          <w:color w:val="auto"/>
        </w:rPr>
      </w:pPr>
    </w:p>
    <w:p>
      <w:pPr>
        <w:ind w:right="140" w:firstLine="6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Increasing scrutiny and evolving expectations from regulators, customers, investors, and other stakeholders with respect to our environmental, social and governance practices may impose additional costs on us or expose us to new or additional risks.</w:t>
      </w:r>
    </w:p>
    <w:p>
      <w:pPr>
        <w:spacing w:after="0" w:line="115" w:lineRule="exact"/>
        <w:rPr>
          <w:sz w:val="20"/>
          <w:szCs w:val="20"/>
          <w:color w:val="auto"/>
        </w:rPr>
      </w:pPr>
    </w:p>
    <w:p>
      <w:pPr>
        <w:ind w:right="60" w:firstLine="600"/>
        <w:spacing w:after="0" w:line="239" w:lineRule="auto"/>
        <w:rPr>
          <w:sz w:val="20"/>
          <w:szCs w:val="20"/>
          <w:color w:val="auto"/>
        </w:rPr>
      </w:pPr>
      <w:r>
        <w:rPr>
          <w:rFonts w:ascii="Times New Roman" w:cs="Times New Roman" w:eastAsia="Times New Roman" w:hAnsi="Times New Roman"/>
          <w:sz w:val="16"/>
          <w:szCs w:val="16"/>
          <w:color w:val="auto"/>
        </w:rPr>
        <w:t>Many companies are facing increasing scrutiny from regulators, customers, investors, and other stakeholders related to their environmental, social and governance (“ESG”) practices and disclosures. Investor advocacy groups, investment funds and influential investors are also increasingly focused on these practices, especially as they relate to the environment, health and safety, diversity, labor conditions and human rights. Increased ESG-related compliance costs for us as well as among our suppliers, vendors and various other parties within our supply chain could result in increases to our overall operational costs. Failure to adapt to or comply with regulatory requirements or investor or stakeholder expectations and standards could negatively impact our reputation, ability to do business with certain partners, access to capital, and our stock price. Both recently adopted and pending government regulations, including recently adopted regulations in California, will result in new or more stringent forms of ESG oversight and expanding mandatory and voluntary reporting, diligence, and disclosure.</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Managing reputational risk is important to attracting and maintaining customers, investors and employees.</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Threats to our reputation can come from many sources, including adverse sentiment about financial institutions generally, unethical practices, employee mistakes, misconduct or fraud, failure to deliver minimum standards of service, failure of any product or service offered by us to meet our customers’ expectations, compliance deficiencies, privacy or information security breaches, government investigations, litigation, and questionable or fraudulent activities of our employees or customers. We have policies and procedures in place to protect our reputation and promote ethical conduct, but these policies and procedures may not be fully effective. Negative publicity regarding our business, employees, or customers, with or without merit, may result in the loss of customers, investors and employees, costly litigation, a decline in revenues and increased governmental scrutiny and regulation.</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depend on the accuracy and completeness of information provided by customers and counterparties.</w:t>
      </w:r>
    </w:p>
    <w:p>
      <w:pPr>
        <w:spacing w:after="0" w:line="156"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In deciding whether to extend credit or enter into other transactions with customers and counterparties, we may rely on information furnished to us by, or on behalf of, customers and counterparties, including financial statements and other financial information. We also may rely on representations of customers and counterparties as to the accuracy and completeness of that information. In deciding whether to extend credit, we may rely upon our customers’ representations that their financial statements are accurate. We also may rely on customer representations and certifications, or other audit or accountants’ reports, with respect to the business and financial condition of our commercial clients. Our financial condition, results of operations, financial reporting and reputation could be materially adversely affected if we rely on materially misleading, false, inaccurate or fraudulent information.</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legal and litigation risk which could adversely affect us.</w:t>
      </w:r>
    </w:p>
    <w:p>
      <w:pPr>
        <w:spacing w:after="0" w:line="156"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Because our Company is extensively regulated by a variety of federal and state agencies, and because we are subject to a wide range of business, consumer and employment laws and regulations at the federal, state and local levels, we are at risk of governmental investigations and lawsuits as well as claims and litigation from private parties. We are from time to time involved in disputes with and claims from investors, customers, bankruptcy trustees, government agencies, vendors, employees and other business parties, and such disputes and claims may result in investigations, litigation or settlements, any one of which or in the aggregate could have an adverse impact on the Company’s operating flexibility, employee relations, financial condition or results of operations, as a result of the costs of any judgment, the terms of any settlement and/or the expenses incurred in defending the applicable claim.</w:t>
      </w:r>
    </w:p>
    <w:p>
      <w:pPr>
        <w:spacing w:after="0" w:line="137" w:lineRule="exact"/>
        <w:rPr>
          <w:sz w:val="20"/>
          <w:szCs w:val="20"/>
          <w:color w:val="auto"/>
        </w:rPr>
      </w:pPr>
    </w:p>
    <w:p>
      <w:pPr>
        <w:ind w:right="40" w:firstLine="588"/>
        <w:spacing w:after="0" w:line="289" w:lineRule="auto"/>
        <w:rPr>
          <w:sz w:val="20"/>
          <w:szCs w:val="20"/>
          <w:color w:val="auto"/>
        </w:rPr>
      </w:pPr>
      <w:r>
        <w:rPr>
          <w:rFonts w:ascii="Times New Roman" w:cs="Times New Roman" w:eastAsia="Times New Roman" w:hAnsi="Times New Roman"/>
          <w:sz w:val="14"/>
          <w:szCs w:val="14"/>
          <w:color w:val="auto"/>
        </w:rPr>
        <w:t xml:space="preserve">We are unable, at this time, to estimate our potential liability in these matters, but we may be required to pay judgments, settlements or other penalties and incur other costs and expenses in connection with any one or more of these investigations or lawsuits, which in turn could have a material adverse effect on our business, results of operations and financial condition. In addition, responding to requests for information in connection with discovery demanded by a government agency or private plaintiffs in any of these lawsuits may be costly and divert internal resources away from managing our business. See Item 3 — </w:t>
      </w:r>
      <w:r>
        <w:rPr>
          <w:rFonts w:ascii="Times New Roman" w:cs="Times New Roman" w:eastAsia="Times New Roman" w:hAnsi="Times New Roman"/>
          <w:sz w:val="14"/>
          <w:szCs w:val="14"/>
          <w:i w:val="1"/>
          <w:iCs w:val="1"/>
          <w:color w:val="auto"/>
        </w:rPr>
        <w:t>Legal Proceedings</w:t>
      </w:r>
      <w:r>
        <w:rPr>
          <w:rFonts w:ascii="Times New Roman" w:cs="Times New Roman" w:eastAsia="Times New Roman" w:hAnsi="Times New Roman"/>
          <w:sz w:val="14"/>
          <w:szCs w:val="14"/>
          <w:color w:val="auto"/>
        </w:rPr>
        <w:t xml:space="preserve"> below.</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0" w:name="page31"/>
    <w:bookmarkEnd w:id="30"/>
    <w:p>
      <w:pPr>
        <w:spacing w:after="0" w:line="137" w:lineRule="exact"/>
        <w:rPr>
          <w:sz w:val="20"/>
          <w:szCs w:val="20"/>
          <w:color w:val="auto"/>
        </w:rPr>
      </w:pPr>
    </w:p>
    <w:p>
      <w:pPr>
        <w:ind w:right="40" w:firstLine="588"/>
        <w:spacing w:after="0" w:line="241" w:lineRule="auto"/>
        <w:rPr>
          <w:sz w:val="20"/>
          <w:szCs w:val="20"/>
          <w:color w:val="auto"/>
        </w:rPr>
      </w:pPr>
      <w:r>
        <w:rPr>
          <w:rFonts w:ascii="Times New Roman" w:cs="Times New Roman" w:eastAsia="Times New Roman" w:hAnsi="Times New Roman"/>
          <w:sz w:val="16"/>
          <w:szCs w:val="16"/>
          <w:color w:val="auto"/>
        </w:rPr>
        <w:t>We may be subject to customer claims and government or legal actions pertaining to our ability to safeguard our customers’ information and the performance of our fiduciary responsibilities. Whether or not such customer claims and legal actions are founded or unfounded, if such claims and legal actions are not resolved in a manner favorable to us, they may result in significant financial liability and/or adversely affect the market perception of us and our products and services, as well as impact customer demand for those products and services. Any financial liability or reputation damage could have a material adverse effect on our business, which, in turn, could have a material adverse effect on our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Associated with our Common Stock</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The price of our common stock may be volatile or may decline.</w:t>
      </w:r>
    </w:p>
    <w:p>
      <w:pPr>
        <w:spacing w:after="0" w:line="156" w:lineRule="exact"/>
        <w:rPr>
          <w:sz w:val="20"/>
          <w:szCs w:val="20"/>
          <w:color w:val="auto"/>
        </w:rPr>
      </w:pPr>
    </w:p>
    <w:p>
      <w:pPr>
        <w:jc w:val="both"/>
        <w:ind w:right="80" w:firstLine="588"/>
        <w:spacing w:after="0" w:line="247" w:lineRule="auto"/>
        <w:rPr>
          <w:sz w:val="20"/>
          <w:szCs w:val="20"/>
          <w:color w:val="auto"/>
        </w:rPr>
      </w:pPr>
      <w:r>
        <w:rPr>
          <w:rFonts w:ascii="Times New Roman" w:cs="Times New Roman" w:eastAsia="Times New Roman" w:hAnsi="Times New Roman"/>
          <w:sz w:val="16"/>
          <w:szCs w:val="16"/>
          <w:color w:val="auto"/>
        </w:rPr>
        <w:t>The trading price of our common stock may fluctuate widely as a result of a number of factors, many of which are outside our control. In addition, the stock market is subject to fluctuations in its share prices and trading volumes that affect the market prices of the shares of many companies. These specific and broad market fluctuations could adversely affect the market price of our common stock. Among the factors that could affect our stock price are:</w:t>
      </w:r>
    </w:p>
    <w:p>
      <w:pPr>
        <w:spacing w:after="0" w:line="1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•actual or unanticipated fluctuations in our operating results and financial condition;</w:t>
      </w:r>
    </w:p>
    <w:p>
      <w:pPr>
        <w:spacing w:after="0" w:line="14" w:lineRule="exact"/>
        <w:rPr>
          <w:sz w:val="20"/>
          <w:szCs w:val="20"/>
          <w:color w:val="auto"/>
        </w:rPr>
      </w:pPr>
    </w:p>
    <w:p>
      <w:pPr>
        <w:ind w:left="1200" w:right="1180"/>
        <w:spacing w:after="0" w:line="234" w:lineRule="auto"/>
        <w:rPr>
          <w:sz w:val="20"/>
          <w:szCs w:val="20"/>
          <w:color w:val="auto"/>
        </w:rPr>
      </w:pPr>
      <w:r>
        <w:rPr>
          <w:rFonts w:ascii="Times New Roman" w:cs="Times New Roman" w:eastAsia="Times New Roman" w:hAnsi="Times New Roman"/>
          <w:sz w:val="16"/>
          <w:szCs w:val="16"/>
          <w:color w:val="auto"/>
        </w:rPr>
        <w:t>•changes in liquidity, revenue or earnings estimates or publication of research reports and recommendations by financial analysts; •credit events or losses;</w:t>
      </w:r>
    </w:p>
    <w:p>
      <w:pPr>
        <w:ind w:left="1200"/>
        <w:spacing w:after="0" w:line="236" w:lineRule="auto"/>
        <w:rPr>
          <w:sz w:val="20"/>
          <w:szCs w:val="20"/>
          <w:color w:val="auto"/>
        </w:rPr>
      </w:pPr>
      <w:r>
        <w:rPr>
          <w:rFonts w:ascii="Times New Roman" w:cs="Times New Roman" w:eastAsia="Times New Roman" w:hAnsi="Times New Roman"/>
          <w:sz w:val="16"/>
          <w:szCs w:val="16"/>
          <w:color w:val="auto"/>
        </w:rPr>
        <w:t>•failure to meet analysts’ revenue or earnings estimates;</w:t>
      </w:r>
    </w:p>
    <w:p>
      <w:pPr>
        <w:ind w:left="1200"/>
        <w:spacing w:after="0" w:line="235" w:lineRule="auto"/>
        <w:rPr>
          <w:sz w:val="20"/>
          <w:szCs w:val="20"/>
          <w:color w:val="auto"/>
        </w:rPr>
      </w:pPr>
      <w:r>
        <w:rPr>
          <w:rFonts w:ascii="Times New Roman" w:cs="Times New Roman" w:eastAsia="Times New Roman" w:hAnsi="Times New Roman"/>
          <w:sz w:val="16"/>
          <w:szCs w:val="16"/>
          <w:color w:val="auto"/>
        </w:rPr>
        <w:t>•speculation in the press or investment community;</w:t>
      </w:r>
    </w:p>
    <w:p>
      <w:pPr>
        <w:ind w:left="1200"/>
        <w:spacing w:after="0" w:line="235" w:lineRule="auto"/>
        <w:rPr>
          <w:sz w:val="20"/>
          <w:szCs w:val="20"/>
          <w:color w:val="auto"/>
        </w:rPr>
      </w:pPr>
      <w:r>
        <w:rPr>
          <w:rFonts w:ascii="Times New Roman" w:cs="Times New Roman" w:eastAsia="Times New Roman" w:hAnsi="Times New Roman"/>
          <w:sz w:val="16"/>
          <w:szCs w:val="16"/>
          <w:color w:val="auto"/>
        </w:rPr>
        <w:t>•strategic actions by us or our competitors, such as acquisitions or restructurings;</w:t>
      </w:r>
    </w:p>
    <w:p>
      <w:pPr>
        <w:ind w:left="1200"/>
        <w:spacing w:after="0" w:line="235" w:lineRule="auto"/>
        <w:rPr>
          <w:sz w:val="20"/>
          <w:szCs w:val="20"/>
          <w:color w:val="auto"/>
        </w:rPr>
      </w:pPr>
      <w:r>
        <w:rPr>
          <w:rFonts w:ascii="Times New Roman" w:cs="Times New Roman" w:eastAsia="Times New Roman" w:hAnsi="Times New Roman"/>
          <w:sz w:val="16"/>
          <w:szCs w:val="16"/>
          <w:color w:val="auto"/>
        </w:rPr>
        <w:t>•actions or trades by institutional shareholders or other large shareholders;</w:t>
      </w:r>
    </w:p>
    <w:p>
      <w:pPr>
        <w:ind w:left="1200"/>
        <w:spacing w:after="0" w:line="235" w:lineRule="auto"/>
        <w:rPr>
          <w:sz w:val="20"/>
          <w:szCs w:val="20"/>
          <w:color w:val="auto"/>
        </w:rPr>
      </w:pPr>
      <w:r>
        <w:rPr>
          <w:rFonts w:ascii="Times New Roman" w:cs="Times New Roman" w:eastAsia="Times New Roman" w:hAnsi="Times New Roman"/>
          <w:sz w:val="16"/>
          <w:szCs w:val="16"/>
          <w:color w:val="auto"/>
        </w:rPr>
        <w:t>•our capital position;</w:t>
      </w:r>
    </w:p>
    <w:p>
      <w:pPr>
        <w:ind w:left="1200"/>
        <w:spacing w:after="0" w:line="234" w:lineRule="auto"/>
        <w:rPr>
          <w:sz w:val="20"/>
          <w:szCs w:val="20"/>
          <w:color w:val="auto"/>
        </w:rPr>
      </w:pPr>
      <w:r>
        <w:rPr>
          <w:rFonts w:ascii="Times New Roman" w:cs="Times New Roman" w:eastAsia="Times New Roman" w:hAnsi="Times New Roman"/>
          <w:sz w:val="16"/>
          <w:szCs w:val="16"/>
          <w:color w:val="auto"/>
        </w:rPr>
        <w:t>•fluctuations in the stock price and operating results of our competitors;</w:t>
      </w:r>
    </w:p>
    <w:p>
      <w:pPr>
        <w:spacing w:after="0" w:line="1" w:lineRule="exact"/>
        <w:rPr>
          <w:sz w:val="20"/>
          <w:szCs w:val="20"/>
          <w:color w:val="auto"/>
        </w:rPr>
      </w:pPr>
    </w:p>
    <w:p>
      <w:pPr>
        <w:ind w:left="1200" w:right="1840"/>
        <w:spacing w:after="0" w:line="234" w:lineRule="auto"/>
        <w:rPr>
          <w:sz w:val="20"/>
          <w:szCs w:val="20"/>
          <w:color w:val="auto"/>
        </w:rPr>
      </w:pPr>
      <w:r>
        <w:rPr>
          <w:rFonts w:ascii="Times New Roman" w:cs="Times New Roman" w:eastAsia="Times New Roman" w:hAnsi="Times New Roman"/>
          <w:sz w:val="16"/>
          <w:szCs w:val="16"/>
          <w:color w:val="auto"/>
        </w:rPr>
        <w:t>•actions by hedge funds, short term investors, activist shareholders or shareholder representative organizations; •general market conditions and, in particular, developments relating to the financial services industry and interest rates; •proposed or adopted regulatory changes or developments;</w:t>
      </w:r>
    </w:p>
    <w:p>
      <w:pPr>
        <w:spacing w:after="0" w:line="2" w:lineRule="exact"/>
        <w:rPr>
          <w:sz w:val="20"/>
          <w:szCs w:val="20"/>
          <w:color w:val="auto"/>
        </w:rPr>
      </w:pPr>
    </w:p>
    <w:p>
      <w:pPr>
        <w:ind w:left="1200" w:right="1880"/>
        <w:spacing w:after="0" w:line="234" w:lineRule="auto"/>
        <w:rPr>
          <w:sz w:val="20"/>
          <w:szCs w:val="20"/>
          <w:color w:val="auto"/>
        </w:rPr>
      </w:pPr>
      <w:r>
        <w:rPr>
          <w:rFonts w:ascii="Times New Roman" w:cs="Times New Roman" w:eastAsia="Times New Roman" w:hAnsi="Times New Roman"/>
          <w:sz w:val="16"/>
          <w:szCs w:val="16"/>
          <w:color w:val="auto"/>
        </w:rPr>
        <w:t>•unanticipated or pending investigations, proceedings or litigation that involve or affect the Company and/or the Bank; •fraud losses or data or privacy breaches; or</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•domestic and international economic factors, whether related or unrelated to the Company’s performance.</w:t>
      </w:r>
    </w:p>
    <w:p>
      <w:pPr>
        <w:spacing w:after="0" w:line="134" w:lineRule="exact"/>
        <w:rPr>
          <w:sz w:val="20"/>
          <w:szCs w:val="20"/>
          <w:color w:val="auto"/>
        </w:rPr>
      </w:pPr>
    </w:p>
    <w:p>
      <w:pPr>
        <w:ind w:firstLine="588"/>
        <w:spacing w:after="0" w:line="284" w:lineRule="auto"/>
        <w:rPr>
          <w:sz w:val="20"/>
          <w:szCs w:val="20"/>
          <w:color w:val="auto"/>
        </w:rPr>
      </w:pPr>
      <w:r>
        <w:rPr>
          <w:rFonts w:ascii="Times New Roman" w:cs="Times New Roman" w:eastAsia="Times New Roman" w:hAnsi="Times New Roman"/>
          <w:sz w:val="14"/>
          <w:szCs w:val="14"/>
          <w:color w:val="auto"/>
        </w:rPr>
        <w:t>The market price of our common stock and the trading volume in our common stock may fluctuate and cause significant price variations to occur. The trading price of the shares of our common stock and the value of our other securities will depend on many factors, which may change from time to time, including, without limitation, our financial condition, performance, creditworthiness and prospects, future sales of our equity or equity related securities, and other factors identified above in “Cautionary Note Regarding Forward-Looking Statements”. A significant decline in our stock price could result in substantial losses for individual shareholders and could lead to costly and disruptive securities litigation. Extensive sales by large shareholders could also exert sustained downward pressure on our stock price.</w:t>
      </w:r>
    </w:p>
    <w:p>
      <w:pPr>
        <w:spacing w:after="0" w:line="1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An investment in our common stock is not an insured deposit.</w:t>
      </w:r>
    </w:p>
    <w:p>
      <w:pPr>
        <w:spacing w:after="0" w:line="156" w:lineRule="exact"/>
        <w:rPr>
          <w:sz w:val="20"/>
          <w:szCs w:val="20"/>
          <w:color w:val="auto"/>
        </w:rPr>
      </w:pPr>
    </w:p>
    <w:p>
      <w:pPr>
        <w:ind w:right="80" w:firstLine="588"/>
        <w:spacing w:after="0" w:line="243" w:lineRule="auto"/>
        <w:rPr>
          <w:sz w:val="20"/>
          <w:szCs w:val="20"/>
          <w:color w:val="auto"/>
        </w:rPr>
      </w:pPr>
      <w:r>
        <w:rPr>
          <w:rFonts w:ascii="Times New Roman" w:cs="Times New Roman" w:eastAsia="Times New Roman" w:hAnsi="Times New Roman"/>
          <w:sz w:val="16"/>
          <w:szCs w:val="16"/>
          <w:color w:val="auto"/>
        </w:rPr>
        <w:t>Our common stock is not a bank deposit and, therefore, is not insured against loss by the FDIC, any other deposit insurance fund or by any other public or private entity. Investment in our common stock is inherently risky for the reasons described in this “Risk Factors” section and elsewhere in this report and is subject to the same market forces that affect the price of common stock in any company. As a result, if you acquire our common stock, you could lose some or all of your investment.</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common stock is subordinate to our existing and future indebtedness and preferred stock.</w:t>
      </w:r>
    </w:p>
    <w:p>
      <w:pPr>
        <w:spacing w:after="0" w:line="156" w:lineRule="exact"/>
        <w:rPr>
          <w:sz w:val="20"/>
          <w:szCs w:val="20"/>
          <w:color w:val="auto"/>
        </w:rPr>
      </w:pPr>
    </w:p>
    <w:p>
      <w:pPr>
        <w:jc w:val="both"/>
        <w:ind w:right="60" w:firstLine="588"/>
        <w:spacing w:after="0" w:line="247" w:lineRule="auto"/>
        <w:rPr>
          <w:sz w:val="20"/>
          <w:szCs w:val="20"/>
          <w:color w:val="auto"/>
        </w:rPr>
      </w:pPr>
      <w:r>
        <w:rPr>
          <w:rFonts w:ascii="Times New Roman" w:cs="Times New Roman" w:eastAsia="Times New Roman" w:hAnsi="Times New Roman"/>
          <w:sz w:val="16"/>
          <w:szCs w:val="16"/>
          <w:color w:val="auto"/>
        </w:rPr>
        <w:t>Shares of our common stock are equity interests and do not constitute indebtedness. As such, our common stock ranks junior to all our customer deposits and indebtedness, whether now existing or hereafter incurred, and other non-equity claims on us, with respect to assets available to satisfy claims. Additionally, holders of common stock are subject to the prior</w:t>
      </w:r>
    </w:p>
    <w:p>
      <w:pPr>
        <w:spacing w:after="0" w:line="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31" w:name="page32"/>
    <w:bookmarkEnd w:id="31"/>
    <w:p>
      <w:pPr>
        <w:spacing w:after="0" w:line="13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liquidation rights of the holders of any outstanding debt we have now or may issue in the future and may be subject to the prior dividend and liquidation rights of any series of preferred stock we may issue in the future.</w:t>
      </w:r>
    </w:p>
    <w:p>
      <w:pPr>
        <w:spacing w:after="0" w:line="1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Anti-takeover provisions and federal law may limit the ability of another party to acquire us, which could cause our stock price to decline.</w:t>
      </w:r>
    </w:p>
    <w:p>
      <w:pPr>
        <w:spacing w:after="0" w:line="156" w:lineRule="exact"/>
        <w:rPr>
          <w:sz w:val="20"/>
          <w:szCs w:val="20"/>
          <w:color w:val="auto"/>
        </w:rPr>
      </w:pPr>
    </w:p>
    <w:p>
      <w:pPr>
        <w:ind w:right="80" w:firstLine="588"/>
        <w:spacing w:after="0" w:line="239" w:lineRule="auto"/>
        <w:rPr>
          <w:sz w:val="20"/>
          <w:szCs w:val="20"/>
          <w:color w:val="auto"/>
        </w:rPr>
      </w:pPr>
      <w:r>
        <w:rPr>
          <w:rFonts w:ascii="Times New Roman" w:cs="Times New Roman" w:eastAsia="Times New Roman" w:hAnsi="Times New Roman"/>
          <w:sz w:val="16"/>
          <w:szCs w:val="16"/>
          <w:color w:val="auto"/>
        </w:rPr>
        <w:t>Various provisions of our articles of incorporation and by -laws and certain other actions we have taken could delay or prevent a third-party from acquiring us, even if doing so might be beneficial to our shareholders. The Bank Holding Company Act of 1956, as amended, and the Change in Bank Control Act of 1978, as amended, together with federal regulations, require that, depending on the particular circumstances, regulatory approval and/or appropriate regulatory filings may be required from either or all the Federal Reserve, the FDIC, the DFPI prior to any person or entity acquiring “control” (as defined in the applicable regulations) of a state non-member bank, such as the Bank. These provisions may prevent a merger or acquisition that would be attractive to shareholders and could limit the price investors would be willing to pay in the future for our common stock.</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could reduce or discontinue the payment of dividends on our common stock.</w:t>
      </w:r>
    </w:p>
    <w:p>
      <w:pPr>
        <w:spacing w:after="0" w:line="156" w:lineRule="exact"/>
        <w:rPr>
          <w:sz w:val="20"/>
          <w:szCs w:val="20"/>
          <w:color w:val="auto"/>
        </w:rPr>
      </w:pPr>
    </w:p>
    <w:p>
      <w:pPr>
        <w:ind w:firstLine="588"/>
        <w:spacing w:after="0" w:line="241" w:lineRule="auto"/>
        <w:rPr>
          <w:sz w:val="20"/>
          <w:szCs w:val="20"/>
          <w:color w:val="auto"/>
        </w:rPr>
      </w:pPr>
      <w:r>
        <w:rPr>
          <w:rFonts w:ascii="Times New Roman" w:cs="Times New Roman" w:eastAsia="Times New Roman" w:hAnsi="Times New Roman"/>
          <w:sz w:val="16"/>
          <w:szCs w:val="16"/>
          <w:color w:val="auto"/>
        </w:rPr>
        <w:t xml:space="preserve">The ability of the Bank to pay dividends to the Company and of the Company to pay dividends to our shareholders is limited by applicable federal and California law and regulations. If the Bank is unable to meet regulatory requirements to pay dividends or make other distributions to CVB, CVB will be unable to pay dividends to its shareholders. In addition, our Board of Directors could decide in the future to reduce or discontinue the payment of cash dividends on our common stock in its sole discretion. See “Business — Regulation and Supervision” and “Item 7. </w:t>
      </w:r>
      <w:r>
        <w:rPr>
          <w:rFonts w:ascii="Times New Roman" w:cs="Times New Roman" w:eastAsia="Times New Roman" w:hAnsi="Times New Roman"/>
          <w:sz w:val="16"/>
          <w:szCs w:val="16"/>
          <w:i w:val="1"/>
          <w:iCs w:val="1"/>
          <w:color w:val="auto"/>
        </w:rPr>
        <w:t>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 — Liquidity and Cash Flow.”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Risks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may face other risks.</w:t>
      </w:r>
    </w:p>
    <w:p>
      <w:pPr>
        <w:spacing w:after="0" w:line="156" w:lineRule="exact"/>
        <w:rPr>
          <w:sz w:val="20"/>
          <w:szCs w:val="20"/>
          <w:color w:val="auto"/>
        </w:rPr>
      </w:pPr>
    </w:p>
    <w:p>
      <w:pPr>
        <w:ind w:right="220" w:firstLine="588"/>
        <w:spacing w:after="0" w:line="259" w:lineRule="auto"/>
        <w:rPr>
          <w:sz w:val="20"/>
          <w:szCs w:val="20"/>
          <w:color w:val="auto"/>
        </w:rPr>
      </w:pPr>
      <w:r>
        <w:rPr>
          <w:rFonts w:ascii="Times New Roman" w:cs="Times New Roman" w:eastAsia="Times New Roman" w:hAnsi="Times New Roman"/>
          <w:sz w:val="16"/>
          <w:szCs w:val="16"/>
          <w:color w:val="auto"/>
        </w:rPr>
        <w:t xml:space="preserve">From time to time, we detail other risks with respect to our business and/or financial results in our filings with the SEC. For further discussion on additional areas of risk, see “Item 7.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color w:val="auto"/>
        </w:rPr>
        <w:t xml:space="preserve">ITEM 1B. </w:t>
      </w:r>
      <w:r>
        <w:rPr>
          <w:rFonts w:ascii="Times New Roman" w:cs="Times New Roman" w:eastAsia="Times New Roman" w:hAnsi="Times New Roman"/>
          <w:sz w:val="16"/>
          <w:szCs w:val="16"/>
          <w:b w:val="1"/>
          <w:bCs w:val="1"/>
          <w:i w:val="1"/>
          <w:iCs w:val="1"/>
          <w:color w:val="auto"/>
        </w:rPr>
        <w:t>UNRESOLVED STAFF COMMENTS</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None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1C. </w:t>
      </w:r>
      <w:r>
        <w:rPr>
          <w:rFonts w:ascii="Times New Roman" w:cs="Times New Roman" w:eastAsia="Times New Roman" w:hAnsi="Times New Roman"/>
          <w:sz w:val="16"/>
          <w:szCs w:val="16"/>
          <w:b w:val="1"/>
          <w:bCs w:val="1"/>
          <w:i w:val="1"/>
          <w:iCs w:val="1"/>
          <w:color w:val="auto"/>
        </w:rPr>
        <w:t>CYBERSECURITY</w:t>
      </w:r>
    </w:p>
    <w:p>
      <w:pPr>
        <w:spacing w:after="0" w:line="156" w:lineRule="exact"/>
        <w:rPr>
          <w:sz w:val="20"/>
          <w:szCs w:val="20"/>
          <w:color w:val="auto"/>
        </w:rPr>
      </w:pPr>
    </w:p>
    <w:p>
      <w:pPr>
        <w:ind w:right="20" w:firstLine="588"/>
        <w:spacing w:after="0" w:line="280" w:lineRule="auto"/>
        <w:rPr>
          <w:sz w:val="20"/>
          <w:szCs w:val="20"/>
          <w:color w:val="auto"/>
        </w:rPr>
      </w:pPr>
      <w:r>
        <w:rPr>
          <w:rFonts w:ascii="Times New Roman" w:cs="Times New Roman" w:eastAsia="Times New Roman" w:hAnsi="Times New Roman"/>
          <w:sz w:val="14"/>
          <w:szCs w:val="14"/>
          <w:color w:val="auto"/>
        </w:rPr>
        <w:t>Cyber criminals are becoming more sophisticated and effective every day, and they are increasingly targeting financial institutions. All companies utilizing technology are subject to threats and potential breaches of their cybersecurity programs. Any significant disruption in or unauthorized access to our computer systems or those of third parties that we utilize in our operations, including those relating to cybersecurity or arising from cyber-attacks, could result in a loss or degradation of service, unauthorized access, disclosure or destruction of data, including customer and bank information. To mitigate the threat to our business, we take a comprehensive approach to cybersecurity risk management and make securing the data customers and other stakeholders entrust to us a top priority. Our board of directors (the “Board”), through our Audit Committee, and our management, are actively involved in the oversight of our cybersecurity risk management program.</w:t>
      </w:r>
    </w:p>
    <w:p>
      <w:pPr>
        <w:spacing w:after="0" w:line="109"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As described in more detail below, we have established policies, standards, processes and practices for assessing, identifying, and managing material risks from cybersecurity threats. We have devoted significant financial and personnel resources to implement and maintain security measures to meet regulatory requirements and customer expectations, and we intend to continue to make significant investments to maintain the security of our data and cybersecurity infrastructure. There can be no guarantee that our policies, standards, processes, and procedures, and cyber security safeguards will be sufficient to protect against all possible threats and properly followed in every instance, or that those policies and procedures will be effective. Although our Risk Factors include further detail about the material cybersecurity risks we face, we believe that risks from prior cybersecurity threats, including as a result of any previous cybersecurity incidents, have not materially affected our business to date. We can provide no assurance that there will not be incidents in the future or that they will not materially affect us, including our business strategy, results of operations, or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154" w:lineRule="exact"/>
        <w:rPr>
          <w:sz w:val="20"/>
          <w:szCs w:val="20"/>
          <w:color w:val="auto"/>
        </w:rPr>
      </w:pPr>
    </w:p>
    <w:p>
      <w:pPr>
        <w:ind w:right="220" w:firstLine="588"/>
        <w:spacing w:after="0" w:line="247" w:lineRule="auto"/>
        <w:rPr>
          <w:sz w:val="20"/>
          <w:szCs w:val="20"/>
          <w:color w:val="auto"/>
        </w:rPr>
      </w:pPr>
      <w:r>
        <w:rPr>
          <w:rFonts w:ascii="Times New Roman" w:cs="Times New Roman" w:eastAsia="Times New Roman" w:hAnsi="Times New Roman"/>
          <w:sz w:val="16"/>
          <w:szCs w:val="16"/>
          <w:color w:val="auto"/>
        </w:rPr>
        <w:t>Our policies, standards, processes and practices for assessing, identifying, and managing material risks from cybersecurity threats are integrated into our overall risk management program and are based on applicable banking regulations, including the Interagency Guidelines Establishing Information Security Standards (“Interagency Guidelines”), and a Cybersecurity Assessment Framework. Our cybersecurity program in particular focuses on the following key areas:</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Process</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Our cybersecurity risks are identified and addressed through a cross-functional approach that includes coordination through our Corporate Information Security Committee, which includes senior managers in our information security, information technology, operations, risk, compliance and privacy departments or functions. Key security, operations, risk, compliance and privacy stakeholders meet regularly to develop strategies for preserving the confidentiality, integrity and availability of Company and customer information, identifying, preventing and mitigating cybersecurity threats, and effectively responding to cybersecurity incidents. We maintain controls and procedures that are designed to follow state and federal regulations to ensure prompt escalation of certain cybersecurity incidents so that decisions regarding public disclosure and reporting of such incidents can be made by management and our Board in a timely manner.</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Risk Assessment</w:t>
      </w:r>
    </w:p>
    <w:p>
      <w:pPr>
        <w:spacing w:after="0" w:line="156" w:lineRule="exact"/>
        <w:rPr>
          <w:sz w:val="20"/>
          <w:szCs w:val="20"/>
          <w:color w:val="auto"/>
        </w:rPr>
      </w:pPr>
    </w:p>
    <w:p>
      <w:pPr>
        <w:ind w:right="280" w:firstLine="588"/>
        <w:spacing w:after="0" w:line="241" w:lineRule="auto"/>
        <w:rPr>
          <w:sz w:val="20"/>
          <w:szCs w:val="20"/>
          <w:color w:val="auto"/>
        </w:rPr>
      </w:pPr>
      <w:r>
        <w:rPr>
          <w:rFonts w:ascii="Times New Roman" w:cs="Times New Roman" w:eastAsia="Times New Roman" w:hAnsi="Times New Roman"/>
          <w:sz w:val="16"/>
          <w:szCs w:val="16"/>
          <w:color w:val="auto"/>
        </w:rPr>
        <w:t>At least annually, we conduct a cybersecurity risk assessment that takes into account information from internal stakeholders, known information security vulnerabilities, and information from external sources (e.g., reported security incidents that have impacted other companies, industry trends, and evaluations by third parties and consultants). The results of the assessment are used to drive alignment on, and prioritization of, initiatives to enhance our security controls, make recommendations to improve processes, and inform a broader enterprise-level risk assessment that is presented to our Board, Audit Committee and members of management.</w:t>
      </w:r>
    </w:p>
    <w:p>
      <w:pPr>
        <w:spacing w:after="0" w:line="1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Technical Safeguards</w:t>
      </w:r>
    </w:p>
    <w:p>
      <w:pPr>
        <w:spacing w:after="0" w:line="156" w:lineRule="exact"/>
        <w:rPr>
          <w:sz w:val="20"/>
          <w:szCs w:val="20"/>
          <w:color w:val="auto"/>
        </w:rPr>
      </w:pPr>
    </w:p>
    <w:p>
      <w:pPr>
        <w:ind w:right="300" w:firstLine="588"/>
        <w:spacing w:after="0" w:line="259" w:lineRule="auto"/>
        <w:rPr>
          <w:sz w:val="20"/>
          <w:szCs w:val="20"/>
          <w:color w:val="auto"/>
        </w:rPr>
      </w:pPr>
      <w:r>
        <w:rPr>
          <w:rFonts w:ascii="Times New Roman" w:cs="Times New Roman" w:eastAsia="Times New Roman" w:hAnsi="Times New Roman"/>
          <w:sz w:val="16"/>
          <w:szCs w:val="16"/>
          <w:color w:val="auto"/>
        </w:rPr>
        <w:t>We regularly assess and deploy technical safeguards designed to protect our information systems from cybersecurity threats. Such safeguards are regularly evaluated and improved based on vulnerability assessments, cybersecurity threat intelligence and incident response experience.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33" w:name="page34"/>
    <w:bookmarkEnd w:id="33"/>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Incident Response, Recovery Planning and Disclosure</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Our Bank is subject to the Interagency Guidelines, as noted above, and our Company is subject to the SEC’s Rules on Cybersecurity Risk Management, Strategy, Governance, and Incident Disclosure by Public Companies adopted in July 2023. In accordance with these rules and regulations, we have sought to establish comprehensive incident response and recovery plans, and we continue to regularly test and evaluate the effectiveness of those plans. Our incident response and recovery plans address — and guide our employees, management and the Board on — our planned response to a cybersecurity incident. With respect to the potential disclosure of material cybersecurity incidents, we have designated our management Financial Review and Disclosure Committee as the proper forum to address such issues. Members of Financial Review and Disclosure Committee include the Chief Financial Officer (“CFO”), General Counsel, Chief Operating Officer (“COO”), Chief Risk Officer (“CRO”), and the Chief Information Security Officer (“CISO”).</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Third-Party Risk Management</w:t>
      </w:r>
    </w:p>
    <w:p>
      <w:pPr>
        <w:spacing w:after="0" w:line="156" w:lineRule="exact"/>
        <w:rPr>
          <w:sz w:val="20"/>
          <w:szCs w:val="20"/>
          <w:color w:val="auto"/>
        </w:rPr>
      </w:pPr>
    </w:p>
    <w:p>
      <w:pPr>
        <w:ind w:right="20" w:firstLine="588"/>
        <w:spacing w:after="0" w:line="241" w:lineRule="auto"/>
        <w:rPr>
          <w:sz w:val="20"/>
          <w:szCs w:val="20"/>
          <w:color w:val="auto"/>
        </w:rPr>
      </w:pPr>
      <w:r>
        <w:rPr>
          <w:rFonts w:ascii="Times New Roman" w:cs="Times New Roman" w:eastAsia="Times New Roman" w:hAnsi="Times New Roman"/>
          <w:sz w:val="16"/>
          <w:szCs w:val="16"/>
          <w:color w:val="auto"/>
        </w:rPr>
        <w:t>We have implemented controls designed to identify and mitigate cybersecurity threats associated with our use of third-party service providers, in the manner and to the extent required by our bank regulators and applicable regulations. Such third-party providers are subject to security risk assessments at the time of onboarding, and contract renewal. We use a variety of inputs in such risk assessments, including information supplied by such third-party providers and other industry sources. In addition, we require our third-party providers to meet appropriate security requirements, controls and responsibilities and to investigate and report on security incidents that have impacted their operations, as appropriate.</w:t>
      </w:r>
    </w:p>
    <w:p>
      <w:pPr>
        <w:spacing w:after="0" w:line="1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Education and Awareness</w:t>
      </w:r>
    </w:p>
    <w:p>
      <w:pPr>
        <w:spacing w:after="0" w:line="156" w:lineRule="exact"/>
        <w:rPr>
          <w:sz w:val="20"/>
          <w:szCs w:val="20"/>
          <w:color w:val="auto"/>
        </w:rPr>
      </w:pPr>
    </w:p>
    <w:p>
      <w:pPr>
        <w:ind w:right="520" w:firstLine="588"/>
        <w:spacing w:after="0" w:line="247" w:lineRule="auto"/>
        <w:rPr>
          <w:sz w:val="20"/>
          <w:szCs w:val="20"/>
          <w:color w:val="auto"/>
        </w:rPr>
      </w:pPr>
      <w:r>
        <w:rPr>
          <w:rFonts w:ascii="Times New Roman" w:cs="Times New Roman" w:eastAsia="Times New Roman" w:hAnsi="Times New Roman"/>
          <w:sz w:val="16"/>
          <w:szCs w:val="16"/>
          <w:color w:val="auto"/>
        </w:rPr>
        <w:t>Our policies require each of our employees to participate in our data security efforts. We regularly remind employees of the importance of handling and protecting customer and employee data, including through annual privacy and security training to enhance employee awareness of how to detect and respond to cybersecurity threats. We also conduct regular phishing email exercises and training to test employees of security practices to mitigate this threat.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External Assessments</w:t>
      </w:r>
    </w:p>
    <w:p>
      <w:pPr>
        <w:spacing w:after="0" w:line="154" w:lineRule="exact"/>
        <w:rPr>
          <w:sz w:val="20"/>
          <w:szCs w:val="20"/>
          <w:color w:val="auto"/>
        </w:rPr>
      </w:pPr>
    </w:p>
    <w:p>
      <w:pPr>
        <w:jc w:val="both"/>
        <w:ind w:right="160" w:firstLine="588"/>
        <w:spacing w:after="0" w:line="243" w:lineRule="auto"/>
        <w:rPr>
          <w:sz w:val="20"/>
          <w:szCs w:val="20"/>
          <w:color w:val="auto"/>
        </w:rPr>
      </w:pPr>
      <w:r>
        <w:rPr>
          <w:rFonts w:ascii="Times New Roman" w:cs="Times New Roman" w:eastAsia="Times New Roman" w:hAnsi="Times New Roman"/>
          <w:sz w:val="16"/>
          <w:szCs w:val="16"/>
          <w:color w:val="auto"/>
        </w:rPr>
        <w:t>Our cybersecurity policies, standards, processes and practices are periodically assessed by third parties and internal and external auditors. These assessments include a variety of activities including information security maturity assessments, audits and independent reviews of our information security control environment and operating effectiveness. These assessments are reported to senior management and our Board through its Audit Committee. Cybersecurity processes are adjusted based on the information provided from these assessments.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Board Oversight</w:t>
      </w:r>
    </w:p>
    <w:p>
      <w:pPr>
        <w:spacing w:after="0" w:line="156" w:lineRule="exact"/>
        <w:rPr>
          <w:sz w:val="20"/>
          <w:szCs w:val="20"/>
          <w:color w:val="auto"/>
        </w:rPr>
      </w:pPr>
    </w:p>
    <w:p>
      <w:pPr>
        <w:ind w:right="220" w:firstLine="588"/>
        <w:spacing w:after="0" w:line="243" w:lineRule="auto"/>
        <w:rPr>
          <w:sz w:val="20"/>
          <w:szCs w:val="20"/>
          <w:color w:val="auto"/>
        </w:rPr>
      </w:pPr>
      <w:r>
        <w:rPr>
          <w:rFonts w:ascii="Times New Roman" w:cs="Times New Roman" w:eastAsia="Times New Roman" w:hAnsi="Times New Roman"/>
          <w:sz w:val="16"/>
          <w:szCs w:val="16"/>
          <w:color w:val="auto"/>
        </w:rPr>
        <w:t>Our Board, through its Audit Committee, oversees the management of our cybersecurity program led by our CISO. The Audit Committee receives regular reports from management about the prevention, detection, mitigation, and remediation of cybersecurity threats and incidents, including material security risks and information security vulnerabilities. Specifically, the Audit Committee receives regular updates from our CISO on cybersecurity risk resulting from risk assessments, progress of risk reduction initiatives, external auditor feedback, and any relevant internal and industry cybersecurity incidents.</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Management’s Responsibility</w:t>
      </w:r>
    </w:p>
    <w:p>
      <w:pPr>
        <w:spacing w:after="0" w:line="156" w:lineRule="exact"/>
        <w:rPr>
          <w:sz w:val="20"/>
          <w:szCs w:val="20"/>
          <w:color w:val="auto"/>
        </w:rPr>
      </w:pPr>
    </w:p>
    <w:p>
      <w:pPr>
        <w:ind w:right="100" w:firstLine="588"/>
        <w:spacing w:after="0" w:line="239" w:lineRule="auto"/>
        <w:rPr>
          <w:sz w:val="20"/>
          <w:szCs w:val="20"/>
          <w:color w:val="auto"/>
        </w:rPr>
      </w:pPr>
      <w:r>
        <w:rPr>
          <w:rFonts w:ascii="Times New Roman" w:cs="Times New Roman" w:eastAsia="Times New Roman" w:hAnsi="Times New Roman"/>
          <w:sz w:val="16"/>
          <w:szCs w:val="16"/>
          <w:color w:val="auto"/>
        </w:rPr>
        <w:t>The Bank's cybersecurity program is managed by our CISO, who reports to the Audit Committee. Management’s Corporate Information Security Committee (the “Security Committee”), led by our CISO, is a governance body that drives alignment on security decisions across multiple departments and functional areas within the Bank, while monitoring and managing Cyber risks to minimize exposure to the Bank. Members of the Security Committee include the Chief Information Officer (“CIO”), the CRO, and the COO. The Security Committee oversees processes for assessing, identifying, and managing material risks from cybersecurity threats. The Security Committee meets at least quarterly to review cybersecurity performance metrics, identify cybersecurity risks, and assess the status of approved cybersecurity enhancements. The Security Committee also considers and makes recommendations on cybersecurity policies and procedures, service requirements, and risk mitigation strategies.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4" w:name="page35"/>
    <w:bookmarkEnd w:id="34"/>
    <w:p>
      <w:pPr>
        <w:spacing w:after="0" w:line="137" w:lineRule="exact"/>
        <w:rPr>
          <w:sz w:val="20"/>
          <w:szCs w:val="20"/>
          <w:color w:val="auto"/>
        </w:rPr>
      </w:pPr>
    </w:p>
    <w:p>
      <w:pPr>
        <w:ind w:right="80" w:firstLine="588"/>
        <w:spacing w:after="0" w:line="241" w:lineRule="auto"/>
        <w:rPr>
          <w:sz w:val="20"/>
          <w:szCs w:val="20"/>
          <w:color w:val="auto"/>
        </w:rPr>
      </w:pPr>
      <w:r>
        <w:rPr>
          <w:rFonts w:ascii="Times New Roman" w:cs="Times New Roman" w:eastAsia="Times New Roman" w:hAnsi="Times New Roman"/>
          <w:sz w:val="16"/>
          <w:szCs w:val="16"/>
          <w:color w:val="auto"/>
        </w:rPr>
        <w:t>Our CISO has more than 27 years of Information Technology and 21 years of Information Security experience in financial services including two other regional banks. He holds an undergraduate and master’s degree in Cybersecurity and Information Assurance. Our CIO has 25 years of information technology experience and 18 years of experience in the financial services industry. Our CRO has more than 33 years of experience in Banking and over 15 years of experience in risk management, compliance, and BSA. Our COO is a seasoned bank operations executive with over 35 years of banking experience in Operations, Vendor Management, IT, Security, Treasury Management and Payment Operations.</w:t>
      </w:r>
    </w:p>
    <w:p>
      <w:pPr>
        <w:spacing w:after="0" w:line="2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principal executive offices of the Company and the Bank are located in Ontario, California, and are owned by the Company.</w:t>
      </w:r>
    </w:p>
    <w:p>
      <w:pPr>
        <w:spacing w:after="0" w:line="152" w:lineRule="exact"/>
        <w:rPr>
          <w:sz w:val="20"/>
          <w:szCs w:val="20"/>
          <w:color w:val="auto"/>
        </w:rPr>
      </w:pPr>
    </w:p>
    <w:p>
      <w:pPr>
        <w:jc w:val="both"/>
        <w:ind w:right="280" w:firstLine="588"/>
        <w:spacing w:after="0" w:line="247" w:lineRule="auto"/>
        <w:rPr>
          <w:sz w:val="20"/>
          <w:szCs w:val="20"/>
          <w:color w:val="auto"/>
        </w:rPr>
      </w:pPr>
      <w:r>
        <w:rPr>
          <w:rFonts w:ascii="Times New Roman" w:cs="Times New Roman" w:eastAsia="Times New Roman" w:hAnsi="Times New Roman"/>
          <w:sz w:val="16"/>
          <w:szCs w:val="16"/>
          <w:color w:val="auto"/>
        </w:rPr>
        <w:t>As of December 31, 2024, the Bank occupied a total of 65 premises consisting of (i) 62 Banking Centers (“Centers”) of which one Center is located at our Corporate Headquarters in Ontario California, and (ii) three operation and technology centers. We own 10 of these locations and the remaining properties are leased under various agreements with expiration dates ranging from 2025 through 2042. All properties are located in Southern and Central California.</w:t>
      </w:r>
    </w:p>
    <w:p>
      <w:pPr>
        <w:spacing w:after="0" w:line="126" w:lineRule="exact"/>
        <w:rPr>
          <w:sz w:val="20"/>
          <w:szCs w:val="20"/>
          <w:color w:val="auto"/>
        </w:rPr>
      </w:pPr>
    </w:p>
    <w:p>
      <w:pPr>
        <w:ind w:right="300" w:firstLine="588"/>
        <w:spacing w:after="0" w:line="262" w:lineRule="auto"/>
        <w:rPr>
          <w:sz w:val="20"/>
          <w:szCs w:val="20"/>
          <w:color w:val="auto"/>
        </w:rPr>
      </w:pPr>
      <w:r>
        <w:rPr>
          <w:rFonts w:ascii="Times New Roman" w:cs="Times New Roman" w:eastAsia="Times New Roman" w:hAnsi="Times New Roman"/>
          <w:sz w:val="16"/>
          <w:szCs w:val="16"/>
          <w:color w:val="auto"/>
        </w:rPr>
        <w:t xml:space="preserve">For additional information concerning properties, see Note 7 — </w:t>
      </w:r>
      <w:r>
        <w:rPr>
          <w:rFonts w:ascii="Times New Roman" w:cs="Times New Roman" w:eastAsia="Times New Roman" w:hAnsi="Times New Roman"/>
          <w:sz w:val="16"/>
          <w:szCs w:val="16"/>
          <w:i w:val="1"/>
          <w:iCs w:val="1"/>
          <w:color w:val="auto"/>
        </w:rPr>
        <w:t>Premises and Equipment</w:t>
      </w:r>
      <w:r>
        <w:rPr>
          <w:rFonts w:ascii="Times New Roman" w:cs="Times New Roman" w:eastAsia="Times New Roman" w:hAnsi="Times New Roman"/>
          <w:sz w:val="16"/>
          <w:szCs w:val="16"/>
          <w:color w:val="auto"/>
        </w:rPr>
        <w:t xml:space="preserve"> and Note 21 —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of the Notes to the consolidated financial statements included in this report. See “Item 8 — </w:t>
      </w:r>
      <w:r>
        <w:rPr>
          <w:rFonts w:ascii="Times New Roman" w:cs="Times New Roman" w:eastAsia="Times New Roman" w:hAnsi="Times New Roman"/>
          <w:sz w:val="16"/>
          <w:szCs w:val="16"/>
          <w:i w:val="1"/>
          <w:iCs w:val="1"/>
          <w:color w:val="auto"/>
        </w:rPr>
        <w:t>Financial Statements and Supplemental Data</w:t>
      </w:r>
      <w:r>
        <w:rPr>
          <w:rFonts w:ascii="Times New Roman" w:cs="Times New Roman" w:eastAsia="Times New Roman" w:hAnsi="Times New Roman"/>
          <w:sz w:val="16"/>
          <w:szCs w:val="16"/>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3. </w:t>
      </w:r>
      <w:r>
        <w:rPr>
          <w:rFonts w:ascii="Times New Roman" w:cs="Times New Roman" w:eastAsia="Times New Roman" w:hAnsi="Times New Roman"/>
          <w:sz w:val="16"/>
          <w:szCs w:val="16"/>
          <w:b w:val="1"/>
          <w:bCs w:val="1"/>
          <w:i w:val="1"/>
          <w:iCs w:val="1"/>
          <w:color w:val="auto"/>
        </w:rPr>
        <w:t>LEGAL PROCEEDINGS</w:t>
      </w:r>
    </w:p>
    <w:p>
      <w:pPr>
        <w:spacing w:after="0" w:line="156" w:lineRule="exact"/>
        <w:rPr>
          <w:sz w:val="20"/>
          <w:szCs w:val="20"/>
          <w:color w:val="auto"/>
        </w:rPr>
      </w:pPr>
    </w:p>
    <w:p>
      <w:pPr>
        <w:ind w:right="60" w:firstLine="588"/>
        <w:spacing w:after="0" w:line="284" w:lineRule="auto"/>
        <w:rPr>
          <w:sz w:val="20"/>
          <w:szCs w:val="20"/>
          <w:color w:val="auto"/>
        </w:rPr>
      </w:pPr>
      <w:r>
        <w:rPr>
          <w:rFonts w:ascii="Times New Roman" w:cs="Times New Roman" w:eastAsia="Times New Roman" w:hAnsi="Times New Roman"/>
          <w:sz w:val="14"/>
          <w:szCs w:val="14"/>
          <w:color w:val="auto"/>
        </w:rPr>
        <w:t xml:space="preserve">The Company and its subsidiaries are parties to various lawsuits and threatened lawsuits in the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bankruptcy- related claims, and fraud and negligence claims, some of which may be styled as “class action” or representative cases. Some of these lawsuits may be similar in nature to other lawsuits pending against the Company’s competitors. For additional information concerning legal proceedings, see Note 12 —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of the Notes to the consolidated financial statements included in this report.</w:t>
      </w:r>
    </w:p>
    <w:p>
      <w:pPr>
        <w:spacing w:after="0" w:line="104" w:lineRule="exact"/>
        <w:rPr>
          <w:sz w:val="20"/>
          <w:szCs w:val="20"/>
          <w:color w:val="auto"/>
        </w:rPr>
      </w:pPr>
    </w:p>
    <w:p>
      <w:pPr>
        <w:ind w:right="40" w:firstLine="588"/>
        <w:spacing w:after="0" w:line="238" w:lineRule="auto"/>
        <w:rPr>
          <w:sz w:val="20"/>
          <w:szCs w:val="20"/>
          <w:color w:val="auto"/>
        </w:rPr>
      </w:pPr>
      <w:r>
        <w:rPr>
          <w:rFonts w:ascii="Times New Roman" w:cs="Times New Roman" w:eastAsia="Times New Roman" w:hAnsi="Times New Roman"/>
          <w:sz w:val="16"/>
          <w:szCs w:val="16"/>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34" w:lineRule="exact"/>
        <w:rPr>
          <w:sz w:val="20"/>
          <w:szCs w:val="20"/>
          <w:color w:val="auto"/>
        </w:rPr>
      </w:pPr>
    </w:p>
    <w:p>
      <w:pPr>
        <w:ind w:firstLine="588"/>
        <w:spacing w:after="0" w:line="243" w:lineRule="auto"/>
        <w:rPr>
          <w:sz w:val="20"/>
          <w:szCs w:val="20"/>
          <w:color w:val="auto"/>
        </w:rPr>
      </w:pPr>
      <w:r>
        <w:rPr>
          <w:rFonts w:ascii="Times New Roman" w:cs="Times New Roman" w:eastAsia="Times New Roman" w:hAnsi="Times New Roman"/>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31" w:lineRule="exact"/>
        <w:rPr>
          <w:sz w:val="20"/>
          <w:szCs w:val="20"/>
          <w:color w:val="auto"/>
        </w:rPr>
      </w:pPr>
    </w:p>
    <w:p>
      <w:pPr>
        <w:ind w:right="180" w:firstLine="600"/>
        <w:spacing w:after="0" w:line="243" w:lineRule="auto"/>
        <w:rPr>
          <w:sz w:val="20"/>
          <w:szCs w:val="20"/>
          <w:color w:val="auto"/>
        </w:rPr>
      </w:pPr>
      <w:r>
        <w:rPr>
          <w:rFonts w:ascii="Times New Roman" w:cs="Times New Roman" w:eastAsia="Times New Roman" w:hAnsi="Times New Roman"/>
          <w:sz w:val="16"/>
          <w:szCs w:val="16"/>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5" w:name="page36"/>
    <w:bookmarkEnd w:id="35"/>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4. </w:t>
      </w:r>
      <w:r>
        <w:rPr>
          <w:rFonts w:ascii="Times New Roman" w:cs="Times New Roman" w:eastAsia="Times New Roman" w:hAnsi="Times New Roman"/>
          <w:sz w:val="16"/>
          <w:szCs w:val="16"/>
          <w:b w:val="1"/>
          <w:bCs w:val="1"/>
          <w:i w:val="1"/>
          <w:iCs w:val="1"/>
          <w:color w:val="auto"/>
        </w:rPr>
        <w:t>MINE SAFETY DISCLOSURES</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30"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ITEM 5. </w:t>
      </w:r>
      <w:r>
        <w:rPr>
          <w:rFonts w:ascii="Times New Roman" w:cs="Times New Roman" w:eastAsia="Times New Roman" w:hAnsi="Times New Roman"/>
          <w:sz w:val="16"/>
          <w:szCs w:val="16"/>
          <w:b w:val="1"/>
          <w:bCs w:val="1"/>
          <w:i w:val="1"/>
          <w:iCs w:val="1"/>
          <w:color w:val="auto"/>
        </w:rPr>
        <w:t>MARKET FOR THE REGISTRANT’S COMMON EQUITY, RELATED STOCKHOLDER MATTERS AND ISSUER PURCHASES OF EQUITY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i w:val="1"/>
          <w:iCs w:val="1"/>
          <w:color w:val="auto"/>
        </w:rPr>
        <w:t>SECURITIES</w:t>
      </w:r>
    </w:p>
    <w:p>
      <w:pPr>
        <w:spacing w:after="0" w:line="115" w:lineRule="exact"/>
        <w:rPr>
          <w:sz w:val="20"/>
          <w:szCs w:val="20"/>
          <w:color w:val="auto"/>
        </w:rPr>
      </w:pPr>
    </w:p>
    <w:p>
      <w:pPr>
        <w:ind w:right="220" w:firstLine="588"/>
        <w:spacing w:after="0" w:line="259" w:lineRule="auto"/>
        <w:rPr>
          <w:sz w:val="20"/>
          <w:szCs w:val="20"/>
          <w:color w:val="auto"/>
        </w:rPr>
      </w:pPr>
      <w:r>
        <w:rPr>
          <w:rFonts w:ascii="Times New Roman" w:cs="Times New Roman" w:eastAsia="Times New Roman" w:hAnsi="Times New Roman"/>
          <w:sz w:val="16"/>
          <w:szCs w:val="16"/>
          <w:color w:val="auto"/>
        </w:rPr>
        <w:t>CVB’s common stock is traded on the NASDAQ Global Select National Market under the symbol “CVBF.” CVB had approximately 139,617,917 shares of common stock outstanding with 1,831 registered stockholders of record as of February 24, 2025.</w:t>
      </w:r>
    </w:p>
    <w:p>
      <w:pPr>
        <w:spacing w:after="0" w:line="119" w:lineRule="exact"/>
        <w:rPr>
          <w:sz w:val="20"/>
          <w:szCs w:val="20"/>
          <w:color w:val="auto"/>
        </w:rPr>
      </w:pPr>
    </w:p>
    <w:p>
      <w:pPr>
        <w:ind w:right="40" w:firstLine="588"/>
        <w:spacing w:after="0" w:line="247" w:lineRule="auto"/>
        <w:rPr>
          <w:sz w:val="20"/>
          <w:szCs w:val="20"/>
          <w:color w:val="auto"/>
        </w:rPr>
      </w:pPr>
      <w:r>
        <w:rPr>
          <w:rFonts w:ascii="Times New Roman" w:cs="Times New Roman" w:eastAsia="Times New Roman" w:hAnsi="Times New Roman"/>
          <w:sz w:val="16"/>
          <w:szCs w:val="16"/>
          <w:color w:val="auto"/>
        </w:rPr>
        <w:t xml:space="preserve">For information on the statutory and regulatory limitations on the ability of the Company to pay dividends to its shareholders and on the Bank to pay dividends to CVB, see “Item 1. </w:t>
      </w:r>
      <w:r>
        <w:rPr>
          <w:rFonts w:ascii="Times New Roman" w:cs="Times New Roman" w:eastAsia="Times New Roman" w:hAnsi="Times New Roman"/>
          <w:sz w:val="16"/>
          <w:szCs w:val="16"/>
          <w:i w:val="1"/>
          <w:iCs w:val="1"/>
          <w:color w:val="auto"/>
        </w:rPr>
        <w:t>Business-Regulation and Supervision — Dividends</w:t>
      </w:r>
      <w:r>
        <w:rPr>
          <w:rFonts w:ascii="Times New Roman" w:cs="Times New Roman" w:eastAsia="Times New Roman" w:hAnsi="Times New Roman"/>
          <w:sz w:val="16"/>
          <w:szCs w:val="16"/>
          <w:color w:val="auto"/>
        </w:rPr>
        <w:t xml:space="preserve">” and “Item 7. </w:t>
      </w:r>
      <w:r>
        <w:rPr>
          <w:rFonts w:ascii="Times New Roman" w:cs="Times New Roman" w:eastAsia="Times New Roman" w:hAnsi="Times New Roman"/>
          <w:sz w:val="16"/>
          <w:szCs w:val="16"/>
          <w:i w:val="1"/>
          <w:iCs w:val="1"/>
          <w:color w:val="auto"/>
        </w:rPr>
        <w:t>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 — Liquidity and Cash Flow</w:t>
      </w:r>
      <w:r>
        <w:rPr>
          <w:rFonts w:ascii="Times New Roman" w:cs="Times New Roman" w:eastAsia="Times New Roman" w:hAnsi="Times New Roman"/>
          <w:sz w:val="16"/>
          <w:szCs w:val="16"/>
          <w:color w:val="auto"/>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54" w:lineRule="exact"/>
        <w:rPr>
          <w:sz w:val="20"/>
          <w:szCs w:val="20"/>
          <w:color w:val="auto"/>
        </w:rPr>
      </w:pPr>
    </w:p>
    <w:p>
      <w:pPr>
        <w:jc w:val="both"/>
        <w:ind w:right="120" w:firstLine="588"/>
        <w:spacing w:after="0" w:line="277" w:lineRule="auto"/>
        <w:rPr>
          <w:sz w:val="20"/>
          <w:szCs w:val="20"/>
          <w:color w:val="auto"/>
        </w:rPr>
      </w:pPr>
      <w:r>
        <w:rPr>
          <w:rFonts w:ascii="Times New Roman" w:cs="Times New Roman" w:eastAsia="Times New Roman" w:hAnsi="Times New Roman"/>
          <w:sz w:val="14"/>
          <w:szCs w:val="14"/>
          <w:color w:val="auto"/>
        </w:rPr>
        <w:t>On November 20, 2024, our Board of Directors approved a program to repurchase up to 10,000,000 shares (the “Maximum Amount”) of CVB common stock including by means of one or more Rule 10b5-1 plans or other appropriate buy-back arrangements, including open market purchases and private transactions, at times and at prices considered appropriate by us, depending upon prevailing market conditions and other corporate and legal considerations (“2024 Repurchase Program”).</w:t>
      </w:r>
    </w:p>
    <w:p>
      <w:pPr>
        <w:spacing w:after="0" w:line="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6"/>
          <w:szCs w:val="16"/>
          <w:color w:val="auto"/>
        </w:rPr>
        <w:t>This 2024 Repurchase Program replaces in its entirety the Company's previous 2022 share repurchase program under which 4,300,059 shares remained available for repurchase and which has now been terminated. The 2024 Repurchase Program terminates on the earlier of the repurchase of the Maximum Amount or five years from the date of authorization. As of December 31, 2024, an aggregate of 10,000,000 shares remained available for repurchase under our 2024 Repurchase Program. The only shares repurchased during the fourth quarter of 2024 were shares repurchased pursuant to net settlement by employees in satisfaction of income tax withholding obligations incurred through the vesting of Company stock awards.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2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Purchased as Part of Publicly</w:t>
            </w:r>
          </w:p>
        </w:tc>
        <w:tc>
          <w:tcPr>
            <w:tcW w:w="220" w:type="dxa"/>
            <w:vAlign w:val="bottom"/>
          </w:tcPr>
          <w:p>
            <w:pPr>
              <w:spacing w:after="0"/>
              <w:rPr>
                <w:sz w:val="15"/>
                <w:szCs w:val="15"/>
                <w:color w:val="auto"/>
              </w:rPr>
            </w:pPr>
          </w:p>
        </w:tc>
        <w:tc>
          <w:tcPr>
            <w:tcW w:w="2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Maximum Number of Shares Available</w:t>
            </w:r>
          </w:p>
        </w:tc>
      </w:tr>
      <w:tr>
        <w:trPr>
          <w:trHeight w:val="180"/>
        </w:trPr>
        <w:tc>
          <w:tcPr>
            <w:tcW w:w="2420" w:type="dxa"/>
            <w:vAlign w:val="bottom"/>
          </w:tcPr>
          <w:p>
            <w:pPr>
              <w:spacing w:after="0"/>
              <w:rPr>
                <w:sz w:val="15"/>
                <w:szCs w:val="15"/>
                <w:color w:val="auto"/>
              </w:rPr>
            </w:pPr>
          </w:p>
        </w:tc>
        <w:tc>
          <w:tcPr>
            <w:tcW w:w="14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rPr>
              <w:t>Total Number of</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Average Price</w:t>
            </w:r>
          </w:p>
        </w:tc>
        <w:tc>
          <w:tcPr>
            <w:tcW w:w="20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Announced Plans or</w:t>
            </w:r>
          </w:p>
        </w:tc>
        <w:tc>
          <w:tcPr>
            <w:tcW w:w="220" w:type="dxa"/>
            <w:vAlign w:val="bottom"/>
          </w:tcPr>
          <w:p>
            <w:pPr>
              <w:spacing w:after="0"/>
              <w:rPr>
                <w:sz w:val="15"/>
                <w:szCs w:val="15"/>
                <w:color w:val="auto"/>
              </w:rPr>
            </w:pPr>
          </w:p>
        </w:tc>
        <w:tc>
          <w:tcPr>
            <w:tcW w:w="2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for Repurchase Under the Plans or</w:t>
            </w:r>
          </w:p>
        </w:tc>
      </w:tr>
      <w:tr>
        <w:trPr>
          <w:trHeight w:val="205"/>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Shares Purchased (1)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Programs</w:t>
            </w:r>
          </w:p>
        </w:tc>
        <w:tc>
          <w:tcPr>
            <w:tcW w:w="220" w:type="dxa"/>
            <w:vAlign w:val="bottom"/>
          </w:tcPr>
          <w:p>
            <w:pPr>
              <w:spacing w:after="0"/>
              <w:rPr>
                <w:sz w:val="17"/>
                <w:szCs w:val="17"/>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Programs</w:t>
            </w:r>
          </w:p>
        </w:tc>
      </w:tr>
      <w:tr>
        <w:trPr>
          <w:trHeight w:val="170"/>
        </w:trPr>
        <w:tc>
          <w:tcPr>
            <w:tcW w:w="2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24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October 1 - 31, 2024</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915</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19.46</w:t>
            </w:r>
          </w:p>
        </w:tc>
        <w:tc>
          <w:tcPr>
            <w:tcW w:w="2060" w:type="dxa"/>
            <w:vAlign w:val="bottom"/>
            <w:shd w:val="clear" w:color="auto" w:fill="CFF0FC"/>
          </w:tcPr>
          <w:p>
            <w:pPr>
              <w:ind w:left="19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8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4,300,059</w:t>
            </w:r>
          </w:p>
        </w:tc>
        <w:tc>
          <w:tcPr>
            <w:tcW w:w="80" w:type="dxa"/>
            <w:vAlign w:val="bottom"/>
            <w:shd w:val="clear" w:color="auto" w:fill="CFF0FC"/>
          </w:tcPr>
          <w:p>
            <w:pPr>
              <w:spacing w:after="0"/>
              <w:rPr>
                <w:sz w:val="15"/>
                <w:szCs w:val="15"/>
                <w:color w:val="auto"/>
              </w:rPr>
            </w:pPr>
          </w:p>
        </w:tc>
      </w:tr>
      <w:tr>
        <w:trPr>
          <w:trHeight w:val="180"/>
        </w:trPr>
        <w:tc>
          <w:tcPr>
            <w:tcW w:w="24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November 1 - 30, 2024</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459</w:t>
            </w:r>
          </w:p>
        </w:tc>
        <w:tc>
          <w:tcPr>
            <w:tcW w:w="3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21.04</w:t>
            </w:r>
          </w:p>
        </w:tc>
        <w:tc>
          <w:tcPr>
            <w:tcW w:w="2060" w:type="dxa"/>
            <w:vAlign w:val="bottom"/>
          </w:tcPr>
          <w:p>
            <w:pPr>
              <w:ind w:left="19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8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10,000,000</w:t>
            </w:r>
          </w:p>
        </w:tc>
        <w:tc>
          <w:tcPr>
            <w:tcW w:w="80" w:type="dxa"/>
            <w:vAlign w:val="bottom"/>
          </w:tcPr>
          <w:p>
            <w:pPr>
              <w:spacing w:after="0"/>
              <w:rPr>
                <w:sz w:val="15"/>
                <w:szCs w:val="15"/>
                <w:color w:val="auto"/>
              </w:rPr>
            </w:pPr>
          </w:p>
        </w:tc>
      </w:tr>
      <w:tr>
        <w:trPr>
          <w:trHeight w:val="180"/>
        </w:trPr>
        <w:tc>
          <w:tcPr>
            <w:tcW w:w="24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December 1 - 31, 2024</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60" w:type="dxa"/>
            <w:vAlign w:val="bottom"/>
            <w:shd w:val="clear" w:color="auto" w:fill="CFF0FC"/>
          </w:tcPr>
          <w:p>
            <w:pPr>
              <w:ind w:left="19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8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10,000,000</w:t>
            </w:r>
          </w:p>
        </w:tc>
        <w:tc>
          <w:tcPr>
            <w:tcW w:w="80" w:type="dxa"/>
            <w:vAlign w:val="bottom"/>
            <w:shd w:val="clear" w:color="auto" w:fill="CFF0FC"/>
          </w:tcPr>
          <w:p>
            <w:pPr>
              <w:spacing w:after="0"/>
              <w:rPr>
                <w:sz w:val="15"/>
                <w:szCs w:val="15"/>
                <w:color w:val="auto"/>
              </w:rPr>
            </w:pPr>
          </w:p>
        </w:tc>
      </w:tr>
      <w:tr>
        <w:trPr>
          <w:trHeight w:val="180"/>
        </w:trPr>
        <w:tc>
          <w:tcPr>
            <w:tcW w:w="242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14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1,374</w:t>
            </w:r>
          </w:p>
        </w:tc>
        <w:tc>
          <w:tcPr>
            <w:tcW w:w="3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19.99</w:t>
            </w:r>
          </w:p>
        </w:tc>
        <w:tc>
          <w:tcPr>
            <w:tcW w:w="2060" w:type="dxa"/>
            <w:vAlign w:val="bottom"/>
          </w:tcPr>
          <w:p>
            <w:pPr>
              <w:ind w:left="1900"/>
              <w:spacing w:after="0" w:line="160" w:lineRule="exact"/>
              <w:rPr>
                <w:sz w:val="20"/>
                <w:szCs w:val="20"/>
                <w:color w:val="auto"/>
              </w:rPr>
            </w:pPr>
            <w:r>
              <w:rPr>
                <w:rFonts w:ascii="Times New Roman" w:cs="Times New Roman" w:eastAsia="Times New Roman" w:hAnsi="Times New Roman"/>
                <w:sz w:val="16"/>
                <w:szCs w:val="16"/>
                <w:color w:val="auto"/>
                <w:w w:val="87"/>
              </w:rPr>
              <w:t>—</w:t>
            </w:r>
          </w:p>
        </w:tc>
        <w:tc>
          <w:tcPr>
            <w:tcW w:w="28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10,000,000</w:t>
            </w:r>
          </w:p>
        </w:tc>
        <w:tc>
          <w:tcPr>
            <w:tcW w:w="80" w:type="dxa"/>
            <w:vAlign w:val="bottom"/>
          </w:tcPr>
          <w:p>
            <w:pPr>
              <w:spacing w:after="0"/>
              <w:rPr>
                <w:sz w:val="15"/>
                <w:szCs w:val="15"/>
                <w:color w:val="auto"/>
              </w:rPr>
            </w:pPr>
          </w:p>
        </w:tc>
      </w:tr>
      <w:tr>
        <w:trPr>
          <w:trHeight w:val="20"/>
        </w:trPr>
        <w:tc>
          <w:tcPr>
            <w:tcW w:w="24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(1)Shares repurchased pursuant to net settlement by employees in satisfaction of income tax withholding obligations incurred through the vesting of Company stock awards.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6" w:name="page37"/>
    <w:bookmarkEnd w:id="36"/>
    <w:p>
      <w:pPr>
        <w:spacing w:after="0" w:line="135" w:lineRule="exact"/>
        <w:rPr>
          <w:sz w:val="20"/>
          <w:szCs w:val="20"/>
          <w:color w:val="auto"/>
        </w:rPr>
      </w:pPr>
    </w:p>
    <w:p>
      <w:pPr>
        <w:ind w:right="20" w:firstLine="588"/>
        <w:spacing w:after="0" w:line="248" w:lineRule="auto"/>
        <w:rPr>
          <w:sz w:val="20"/>
          <w:szCs w:val="20"/>
          <w:color w:val="auto"/>
        </w:rPr>
      </w:pPr>
      <w:r>
        <w:rPr>
          <w:rFonts w:ascii="Times New Roman" w:cs="Times New Roman" w:eastAsia="Times New Roman" w:hAnsi="Times New Roman"/>
          <w:sz w:val="16"/>
          <w:szCs w:val="16"/>
          <w:i w:val="1"/>
          <w:iCs w:val="1"/>
          <w:color w:val="auto"/>
        </w:rPr>
        <w:t>The following Performance Graph and related information shall not be deemed “soliciting material” or be “filed” with the Securities and Exchange Commission,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128" w:lineRule="exact"/>
        <w:rPr>
          <w:sz w:val="20"/>
          <w:szCs w:val="20"/>
          <w:color w:val="auto"/>
        </w:rPr>
      </w:pPr>
    </w:p>
    <w:p>
      <w:pPr>
        <w:ind w:right="40" w:firstLine="600"/>
        <w:spacing w:after="0" w:line="284" w:lineRule="auto"/>
        <w:rPr>
          <w:sz w:val="20"/>
          <w:szCs w:val="20"/>
          <w:color w:val="auto"/>
        </w:rPr>
      </w:pPr>
      <w:r>
        <w:rPr>
          <w:rFonts w:ascii="Times New Roman" w:cs="Times New Roman" w:eastAsia="Times New Roman" w:hAnsi="Times New Roman"/>
          <w:sz w:val="14"/>
          <w:szCs w:val="14"/>
          <w:color w:val="auto"/>
        </w:rPr>
        <w:t>The following graph compares the yearly percentage change in CVB’s cumulative total shareholder return (stock price appreciation plus reinvested dividends) on common stock to (i) the cumulative total return of the Nasdaq Composite Index; and (ii) the Keefe, Bruyette and Woods (“KBW”) Nasdaq Regional Banking Index (“KRX”) (comprised of 50 banks and bank holding companies headquartered throughout the country) which the Company uses as the Company's peers for performance and compensatory purposes. The graph assumes an initial investment of $ 100 on December 31, 2019, and reinvestment of dividends through December 31, 2024. Points on the graph represent the performance as of the last business day of each of the years indicated.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74295</wp:posOffset>
            </wp:positionV>
            <wp:extent cx="4558030" cy="37884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58030" cy="378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ASSUMES $100 INVESTED ON DECEMBER 31, 2019</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ASSUMES DIVIDEND REINVESTED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FISCAL YEAR ENDING DECEMBER 31,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Company/Market/Peer Group</w:t>
            </w:r>
          </w:p>
        </w:tc>
        <w:tc>
          <w:tcPr>
            <w:tcW w:w="170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1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1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1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1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12/31/2024</w:t>
            </w:r>
          </w:p>
        </w:tc>
      </w:tr>
      <w:tr>
        <w:trPr>
          <w:trHeight w:val="168"/>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CVB Financial Corp.</w:t>
            </w:r>
          </w:p>
        </w:tc>
        <w:tc>
          <w:tcPr>
            <w:tcW w:w="1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94.77</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107.64</w:t>
            </w: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133.50</w:t>
            </w: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108.92</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121.86</w:t>
            </w:r>
          </w:p>
        </w:tc>
      </w:tr>
      <w:tr>
        <w:trPr>
          <w:trHeight w:val="168"/>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NASDAQ Composite</w:t>
            </w:r>
          </w:p>
        </w:tc>
        <w:tc>
          <w:tcPr>
            <w:tcW w:w="170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1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144.92</w:t>
            </w:r>
          </w:p>
        </w:tc>
        <w:tc>
          <w:tcPr>
            <w:tcW w:w="11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177.06</w:t>
            </w:r>
          </w:p>
        </w:tc>
        <w:tc>
          <w:tcPr>
            <w:tcW w:w="116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119.45</w:t>
            </w:r>
          </w:p>
        </w:tc>
        <w:tc>
          <w:tcPr>
            <w:tcW w:w="11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172.77</w:t>
            </w: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223.87</w:t>
            </w:r>
          </w:p>
        </w:tc>
      </w:tr>
      <w:tr>
        <w:trPr>
          <w:trHeight w:val="190"/>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KBW Nasdaq Regional Banking Index</w:t>
            </w:r>
          </w:p>
        </w:tc>
        <w:tc>
          <w:tcPr>
            <w:tcW w:w="1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91.29</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124.74</w:t>
            </w: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116.10</w:t>
            </w: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115.63</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130.90</w:t>
            </w:r>
          </w:p>
        </w:tc>
      </w:tr>
    </w:tbl>
    <w:p>
      <w:pPr>
        <w:spacing w:after="0" w:line="1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Source: Research Data Group, Inc., www.researchdatagroup.com</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7" w:name="page38"/>
    <w:bookmarkEnd w:id="37"/>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6. </w:t>
      </w:r>
      <w:r>
        <w:rPr>
          <w:rFonts w:ascii="Times New Roman" w:cs="Times New Roman" w:eastAsia="Times New Roman" w:hAnsi="Times New Roman"/>
          <w:sz w:val="16"/>
          <w:szCs w:val="16"/>
          <w:b w:val="1"/>
          <w:bCs w:val="1"/>
          <w:i w:val="1"/>
          <w:iCs w:val="1"/>
          <w:color w:val="auto"/>
        </w:rPr>
        <w:t>RESERVED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7.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192"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The following discussion provides information about the results of operations, financial condition, liquidity, and capital resources of CVB Financial Corp. and its wholly owned subsidiary. This information is intended to facilitate the understanding and assessment of significant changes and trends related to our financial condition and the results of our operations. This discussion and analysis should be read in conjunction with this Annual Report on Form 10-K, and the audited consolidated financial statements and accompanying notes presented elsewhere in this report.</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154"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The preparation of these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28" w:lineRule="exact"/>
        <w:rPr>
          <w:sz w:val="20"/>
          <w:szCs w:val="20"/>
          <w:color w:val="auto"/>
        </w:rPr>
      </w:pPr>
    </w:p>
    <w:p>
      <w:pPr>
        <w:ind w:right="40" w:firstLine="588"/>
        <w:spacing w:after="0" w:line="241" w:lineRule="auto"/>
        <w:rPr>
          <w:sz w:val="20"/>
          <w:szCs w:val="20"/>
          <w:color w:val="auto"/>
        </w:rPr>
      </w:pPr>
      <w:r>
        <w:rPr>
          <w:rFonts w:ascii="Times New Roman" w:cs="Times New Roman" w:eastAsia="Times New Roman" w:hAnsi="Times New Roman"/>
          <w:sz w:val="16"/>
          <w:szCs w:val="16"/>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most important in the estimation process. We have used the best information available to make the necessary estimates to value the related assets and liabilities. Actual performance that differs from our estimates and future changes in the key variables could change future valuations and impact the results of operations.</w:t>
      </w:r>
    </w:p>
    <w:p>
      <w:pPr>
        <w:spacing w:after="0" w:line="129" w:lineRule="exact"/>
        <w:rPr>
          <w:sz w:val="20"/>
          <w:szCs w:val="20"/>
          <w:color w:val="auto"/>
        </w:rPr>
      </w:pPr>
    </w:p>
    <w:p>
      <w:pPr>
        <w:ind w:right="20" w:firstLine="588"/>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Allowance for Credit Losses (“ACL”) </w:t>
      </w:r>
      <w:r>
        <w:rPr>
          <w:rFonts w:ascii="Times New Roman" w:cs="Times New Roman" w:eastAsia="Times New Roman" w:hAnsi="Times New Roman"/>
          <w:sz w:val="14"/>
          <w:szCs w:val="14"/>
          <w:color w:val="auto"/>
        </w:rPr>
        <w:t>— Our allowance for credit losses is based upon lifetime loss rate models developed from an estimation framework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original loan to value ratios,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(“PPP”) loans) .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Our methodology for assessing the appropriateness of the allowance is reviewed on a regular basis and considers overall risks in the Bank’s loan portfolio.</w:t>
      </w:r>
    </w:p>
    <w:p>
      <w:pPr>
        <w:spacing w:after="0" w:line="298" w:lineRule="exact"/>
        <w:rPr>
          <w:sz w:val="20"/>
          <w:szCs w:val="20"/>
          <w:color w:val="auto"/>
        </w:rPr>
      </w:pPr>
    </w:p>
    <w:p>
      <w:pPr>
        <w:ind w:right="160" w:firstLine="588"/>
        <w:spacing w:after="0" w:line="248" w:lineRule="auto"/>
        <w:rPr>
          <w:sz w:val="20"/>
          <w:szCs w:val="20"/>
          <w:color w:val="auto"/>
        </w:rPr>
      </w:pPr>
      <w:r>
        <w:rPr>
          <w:rFonts w:ascii="Times New Roman" w:cs="Times New Roman" w:eastAsia="Times New Roman" w:hAnsi="Times New Roman"/>
          <w:sz w:val="16"/>
          <w:szCs w:val="16"/>
          <w:color w:val="auto"/>
        </w:rPr>
        <w:t xml:space="preserve">For a full discussion of our methodology of assessing the adequacy of the allowance for credit losses, see “Item 7, </w:t>
      </w:r>
      <w:r>
        <w:rPr>
          <w:rFonts w:ascii="Times New Roman" w:cs="Times New Roman" w:eastAsia="Times New Roman" w:hAnsi="Times New Roman"/>
          <w:sz w:val="16"/>
          <w:szCs w:val="16"/>
          <w:i w:val="1"/>
          <w:iCs w:val="1"/>
          <w:color w:val="auto"/>
        </w:rPr>
        <w:t>Management’s Discussion and Analysis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Condition and Results of Operation — Risk Management</w:t>
      </w:r>
      <w:r>
        <w:rPr>
          <w:rFonts w:ascii="Times New Roman" w:cs="Times New Roman" w:eastAsia="Times New Roman" w:hAnsi="Times New Roman"/>
          <w:sz w:val="16"/>
          <w:szCs w:val="16"/>
          <w:color w:val="auto"/>
        </w:rPr>
        <w:t>” and Note 3 —</w:t>
      </w:r>
      <w:r>
        <w:rPr>
          <w:rFonts w:ascii="Times New Roman" w:cs="Times New Roman" w:eastAsia="Times New Roman" w:hAnsi="Times New Roman"/>
          <w:sz w:val="16"/>
          <w:szCs w:val="16"/>
          <w:i w:val="1"/>
          <w:iCs w:val="1"/>
          <w:color w:val="auto"/>
        </w:rPr>
        <w:t xml:space="preserve"> Summary of Significant Accounting Policies </w:t>
      </w:r>
      <w:r>
        <w:rPr>
          <w:rFonts w:ascii="Times New Roman" w:cs="Times New Roman" w:eastAsia="Times New Roman" w:hAnsi="Times New Roman"/>
          <w:sz w:val="16"/>
          <w:szCs w:val="16"/>
          <w:color w:val="auto"/>
        </w:rPr>
        <w:t>and Note 5 —</w:t>
      </w:r>
      <w:r>
        <w:rPr>
          <w:rFonts w:ascii="Times New Roman" w:cs="Times New Roman" w:eastAsia="Times New Roman" w:hAnsi="Times New Roman"/>
          <w:sz w:val="16"/>
          <w:szCs w:val="16"/>
          <w:i w:val="1"/>
          <w:iCs w:val="1"/>
          <w:color w:val="auto"/>
        </w:rPr>
        <w:t xml:space="preserve"> Loans and Lease Finance Receivables and Allowance for Credit Losses </w:t>
      </w:r>
      <w:r>
        <w:rPr>
          <w:rFonts w:ascii="Times New Roman" w:cs="Times New Roman" w:eastAsia="Times New Roman" w:hAnsi="Times New Roman"/>
          <w:sz w:val="16"/>
          <w:szCs w:val="16"/>
          <w:color w:val="auto"/>
        </w:rPr>
        <w:t>of our consolidated financial statements presented elsewhere in this report.</w:t>
      </w:r>
    </w:p>
    <w:p>
      <w:pPr>
        <w:spacing w:after="0" w:line="124" w:lineRule="exact"/>
        <w:rPr>
          <w:sz w:val="20"/>
          <w:szCs w:val="20"/>
          <w:color w:val="auto"/>
        </w:rPr>
      </w:pPr>
    </w:p>
    <w:p>
      <w:pPr>
        <w:ind w:firstLine="58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Business Combinations </w:t>
      </w:r>
      <w:r>
        <w:rPr>
          <w:rFonts w:ascii="Times New Roman" w:cs="Times New Roman" w:eastAsia="Times New Roman" w:hAnsi="Times New Roman"/>
          <w:sz w:val="16"/>
          <w:szCs w:val="16"/>
          <w:color w:val="auto"/>
        </w:rPr>
        <w:t>— The Company applies the acquisition method of accounting for business combinations. Under the acquisition method, the acquiring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entity in a business combination recognizes the assets acquired and liabilities assumed at their acquisition date fair values. Management utilizes prevailing valuation techniques appropriate for the asset or liability being measured in determining these fair values. These fair values are estimates and are subject to adjustment for up to one year after the acquisition date or when additional information relative to the closing date fair values becomes available and such information is considered final, whichever is earlier. Any excess of the purchase price over amounts allocated to assets acquired, including identifiable intangible assets, and liabilities assumed is recorded as goodwill. Where amounts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 w:name="page39"/>
    <w:bookmarkEnd w:id="38"/>
    <w:p>
      <w:pPr>
        <w:spacing w:after="0" w:line="137"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allocated to assets acquired and liabilities assumed is greater than the purchase price, a bargain purchase gain would be recognized. Acquisition related costs are expensed as incurred.</w:t>
      </w:r>
    </w:p>
    <w:p>
      <w:pPr>
        <w:spacing w:after="0" w:line="115" w:lineRule="exact"/>
        <w:rPr>
          <w:sz w:val="20"/>
          <w:szCs w:val="20"/>
          <w:color w:val="auto"/>
        </w:rPr>
      </w:pPr>
    </w:p>
    <w:p>
      <w:pPr>
        <w:ind w:firstLine="588"/>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Valuation and Recoverability of Goodwill </w:t>
      </w:r>
      <w:r>
        <w:rPr>
          <w:rFonts w:ascii="Times New Roman" w:cs="Times New Roman" w:eastAsia="Times New Roman" w:hAnsi="Times New Roman"/>
          <w:sz w:val="14"/>
          <w:szCs w:val="14"/>
          <w:color w:val="auto"/>
        </w:rPr>
        <w:t>— Goodwill represented $765.8 million of our $15.15 billion in total assets as of December 31, 2024.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Company has one reportable segment. Goodwill has an indefinite useful life and is not amortized, but is tested for impairment at least annually, or more frequently, if events and circumstances exist that indicate that a goodwill impairment test should be performed. Such events and circumstances may include among others, a significant adverse change in legal factors or in the general business climate, significant decline in our stock price and market capitalization, unanticipated competition, the testing for recoverability of a significant asset group within the reporting unit, and an adverse action or assessment by a regulating body. Any adverse change in these factors could have a significant impact on the recoverability of goodwill and could have a material impact on our consolidated financial statements.</w:t>
      </w:r>
    </w:p>
    <w:p>
      <w:pPr>
        <w:spacing w:after="0" w:line="105" w:lineRule="exact"/>
        <w:rPr>
          <w:sz w:val="20"/>
          <w:szCs w:val="20"/>
          <w:color w:val="auto"/>
        </w:rPr>
      </w:pPr>
    </w:p>
    <w:p>
      <w:pPr>
        <w:ind w:right="260" w:firstLine="588"/>
        <w:spacing w:after="0" w:line="247" w:lineRule="auto"/>
        <w:rPr>
          <w:sz w:val="20"/>
          <w:szCs w:val="20"/>
          <w:color w:val="auto"/>
        </w:rPr>
      </w:pPr>
      <w:r>
        <w:rPr>
          <w:rFonts w:ascii="Times New Roman" w:cs="Times New Roman" w:eastAsia="Times New Roman" w:hAnsi="Times New Roman"/>
          <w:sz w:val="16"/>
          <w:szCs w:val="16"/>
          <w:color w:val="auto"/>
        </w:rPr>
        <w:t xml:space="preserve">Based on the results of our annual goodwill impairment test, we determined that no goodwill impairment charges were required as our single reportable segment’s estimated fair value exceeded its carrying amount. See Note 6 — </w:t>
      </w:r>
      <w:r>
        <w:rPr>
          <w:rFonts w:ascii="Times New Roman" w:cs="Times New Roman" w:eastAsia="Times New Roman" w:hAnsi="Times New Roman"/>
          <w:sz w:val="16"/>
          <w:szCs w:val="16"/>
          <w:i w:val="1"/>
          <w:iCs w:val="1"/>
          <w:color w:val="auto"/>
        </w:rPr>
        <w:t>Goodwill and Other Intangible Assets</w:t>
      </w:r>
      <w:r>
        <w:rPr>
          <w:rFonts w:ascii="Times New Roman" w:cs="Times New Roman" w:eastAsia="Times New Roman" w:hAnsi="Times New Roman"/>
          <w:sz w:val="16"/>
          <w:szCs w:val="16"/>
          <w:color w:val="auto"/>
        </w:rPr>
        <w:t xml:space="preserve"> of our consolidated financial statements presented elsewhere in this report.</w:t>
      </w:r>
    </w:p>
    <w:p>
      <w:pPr>
        <w:spacing w:after="0" w:line="126" w:lineRule="exact"/>
        <w:rPr>
          <w:sz w:val="20"/>
          <w:szCs w:val="20"/>
          <w:color w:val="auto"/>
        </w:rPr>
      </w:pPr>
    </w:p>
    <w:p>
      <w:pPr>
        <w:ind w:right="780" w:firstLine="588"/>
        <w:spacing w:after="0" w:line="262" w:lineRule="auto"/>
        <w:rPr>
          <w:sz w:val="20"/>
          <w:szCs w:val="20"/>
          <w:color w:val="auto"/>
        </w:rPr>
      </w:pPr>
      <w:r>
        <w:rPr>
          <w:rFonts w:ascii="Times New Roman" w:cs="Times New Roman" w:eastAsia="Times New Roman" w:hAnsi="Times New Roman"/>
          <w:sz w:val="16"/>
          <w:szCs w:val="16"/>
          <w:color w:val="auto"/>
        </w:rPr>
        <w:t xml:space="preserve">For a complete discussion and disclosure of other accounting policies see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of the Company’s consolidated financial statements presented elsewhere in this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 Not Adopted as of December 31, 2024</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1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Standard</w:t>
            </w:r>
          </w:p>
        </w:tc>
        <w:tc>
          <w:tcPr>
            <w:tcW w:w="4460" w:type="dxa"/>
            <w:vAlign w:val="bottom"/>
          </w:tcPr>
          <w:p>
            <w:pPr>
              <w:ind w:left="19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Adoption Timing</w:t>
            </w:r>
          </w:p>
        </w:tc>
        <w:tc>
          <w:tcPr>
            <w:tcW w:w="304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Impact on Financial Statements</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ASU 2023-09 Income Taxes</w:t>
            </w: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xml:space="preserve">On December 14, 2023, the FASB issued ASU 2023-09, </w:t>
            </w:r>
            <w:r>
              <w:rPr>
                <w:rFonts w:ascii="Times New Roman" w:cs="Times New Roman" w:eastAsia="Times New Roman" w:hAnsi="Times New Roman"/>
                <w:sz w:val="13"/>
                <w:szCs w:val="13"/>
                <w:i w:val="1"/>
                <w:iCs w:val="1"/>
                <w:color w:val="auto"/>
              </w:rPr>
              <w:t>Income Taxes (Topic</w:t>
            </w:r>
          </w:p>
        </w:tc>
        <w:tc>
          <w:tcPr>
            <w:tcW w:w="4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December 31, 2025  The adoption of this ASU will result in additional</w:t>
            </w:r>
          </w:p>
        </w:tc>
        <w:tc>
          <w:tcPr>
            <w:tcW w:w="0" w:type="dxa"/>
            <w:vAlign w:val="bottom"/>
          </w:tcPr>
          <w:p>
            <w:pPr>
              <w:spacing w:after="0"/>
              <w:rPr>
                <w:sz w:val="1"/>
                <w:szCs w:val="1"/>
                <w:color w:val="auto"/>
              </w:rPr>
            </w:pPr>
          </w:p>
        </w:tc>
      </w:tr>
      <w:tr>
        <w:trPr>
          <w:trHeight w:val="158"/>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(Topic 740): Improvements to</w:t>
            </w: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rPr>
              <w:t xml:space="preserve">740) - Improvements to Income Tax Disclosures. </w:t>
            </w:r>
            <w:r>
              <w:rPr>
                <w:rFonts w:ascii="Times New Roman" w:cs="Times New Roman" w:eastAsia="Times New Roman" w:hAnsi="Times New Roman"/>
                <w:sz w:val="13"/>
                <w:szCs w:val="13"/>
                <w:color w:val="auto"/>
              </w:rPr>
              <w:t>This ASU enhances annual</w:t>
            </w:r>
          </w:p>
        </w:tc>
        <w:tc>
          <w:tcPr>
            <w:tcW w:w="1140" w:type="dxa"/>
            <w:vAlign w:val="bottom"/>
          </w:tcPr>
          <w:p>
            <w:pPr>
              <w:spacing w:after="0"/>
              <w:rPr>
                <w:sz w:val="13"/>
                <w:szCs w:val="13"/>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disclosures but is not expected to have a material impact</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Income Tax Disclosures</w:t>
            </w: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tax disclosures to address investor requests for more detailed information</w:t>
            </w:r>
          </w:p>
        </w:tc>
        <w:tc>
          <w:tcPr>
            <w:tcW w:w="1140" w:type="dxa"/>
            <w:vAlign w:val="bottom"/>
          </w:tcPr>
          <w:p>
            <w:pPr>
              <w:spacing w:after="0"/>
              <w:rPr>
                <w:sz w:val="13"/>
                <w:szCs w:val="13"/>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 our consolidated financial statements.</w:t>
            </w: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Issued December 2023</w:t>
            </w: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about tax risks and improved transparency of income tax disclosures. The two</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primary enhancements disaggregate existing income tax disclosures related to the</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effective tax rate reconciliation and information on income taxes paid</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disaggregated by jurisdiction. This ASU is effective for annual reporting periods</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beginning after December 15, 2024 and are to be applied on a prospective basis;</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early adoption is permitted.</w:t>
            </w:r>
          </w:p>
        </w:tc>
        <w:tc>
          <w:tcPr>
            <w:tcW w:w="1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1"/>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ASU 2024-03 Income</w:t>
            </w: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xml:space="preserve">On November 4, 2024, the FASB issued ASU 2024-03, </w:t>
            </w:r>
            <w:r>
              <w:rPr>
                <w:rFonts w:ascii="Times New Roman" w:cs="Times New Roman" w:eastAsia="Times New Roman" w:hAnsi="Times New Roman"/>
                <w:sz w:val="13"/>
                <w:szCs w:val="13"/>
                <w:i w:val="1"/>
                <w:iCs w:val="1"/>
                <w:color w:val="auto"/>
              </w:rPr>
              <w:t>Income Statement -</w:t>
            </w:r>
          </w:p>
        </w:tc>
        <w:tc>
          <w:tcPr>
            <w:tcW w:w="4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December 31, 2027  The adoption of this ASU will result in additional</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Statement - Reporting</w:t>
            </w: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rPr>
              <w:t>Reporting Comprehensive Income - Expense Disaggregation Disclosures</w:t>
            </w:r>
          </w:p>
        </w:tc>
        <w:tc>
          <w:tcPr>
            <w:tcW w:w="1140" w:type="dxa"/>
            <w:vAlign w:val="bottom"/>
          </w:tcPr>
          <w:p>
            <w:pPr>
              <w:spacing w:after="0"/>
              <w:rPr>
                <w:sz w:val="13"/>
                <w:szCs w:val="13"/>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disclosures but is not expected to have a material impact</w:t>
            </w:r>
          </w:p>
        </w:tc>
        <w:tc>
          <w:tcPr>
            <w:tcW w:w="0" w:type="dxa"/>
            <w:vAlign w:val="bottom"/>
          </w:tcPr>
          <w:p>
            <w:pPr>
              <w:spacing w:after="0"/>
              <w:rPr>
                <w:sz w:val="1"/>
                <w:szCs w:val="1"/>
                <w:color w:val="auto"/>
              </w:rPr>
            </w:pPr>
          </w:p>
        </w:tc>
      </w:tr>
      <w:tr>
        <w:trPr>
          <w:trHeight w:val="158"/>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 -</w:t>
            </w: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rPr>
              <w:t xml:space="preserve">(Subtopic 220-40) - Disaggregation of Income Statement Expenses. </w:t>
            </w:r>
            <w:r>
              <w:rPr>
                <w:rFonts w:ascii="Times New Roman" w:cs="Times New Roman" w:eastAsia="Times New Roman" w:hAnsi="Times New Roman"/>
                <w:sz w:val="13"/>
                <w:szCs w:val="13"/>
                <w:color w:val="auto"/>
              </w:rPr>
              <w:t>This ASU</w:t>
            </w:r>
          </w:p>
        </w:tc>
        <w:tc>
          <w:tcPr>
            <w:tcW w:w="1140" w:type="dxa"/>
            <w:vAlign w:val="bottom"/>
          </w:tcPr>
          <w:p>
            <w:pPr>
              <w:spacing w:after="0"/>
              <w:rPr>
                <w:sz w:val="13"/>
                <w:szCs w:val="13"/>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 our consolidated financial statements.</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Expense Disaggregation</w:t>
            </w: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requires disaggregated disclosure of income statement expenses for public</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Disclosures (Subtopic 220-40):</w:t>
            </w: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business entities. This ASU does not change the expense captions an entity</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Disaggregation of Income</w:t>
            </w: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presents on the face of the income statement; rather, it requires disaggregation of</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Statement Expenses</w:t>
            </w: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certain expense captions into specified categories in disclosures in tabular format</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Issued November 2024</w:t>
            </w: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within the footnotes to the financial statements. The prescribed categories include</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compensation, depreciation, and intangible asset amortization. This</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ASU is effective for annual reporting periods beginning after December 15,</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2026, and interim periods within fiscal years beginning in 2028. This ASU is to</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be applied on a prospective basis, though early adoption and retrospective</w:t>
            </w: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application are permitted.</w:t>
            </w:r>
          </w:p>
        </w:tc>
        <w:tc>
          <w:tcPr>
            <w:tcW w:w="1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54"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For the year ended December 31, 2024, we reported net earnings of $200.7 million, compared with $221.4 million for 2023, a $20.7 million, or 9.36%, decrease from the prior year. Diluted earnings per share of $1.44 for 2024, decreased by $0.15, or 9.43%, when compared to $1.59 for 2023. During 2023 market interest rates rapidly increased and stayed elevated through 2024. Net earnings were negatively impacted by a decrease in net interest income, as the cost of our interest-bearing liabilities increased faster than the rising yield on our interest-earning assets, primarily as a result of the higher short term market interest rates controlled by the Federal Reserve. The decline in net interest income was also negatively impacted by increased levels of higher-cost borrowings that were used to manage our liquidity during the uncertain times following the banking crisis in the spring of 2023 and resulting declines in our level of deposits. Net earnings of $ 200.7 million produced a return on average equity (“ROAE”) of 9.35%, a return on average tangible common equity (“ROATCE”) of 14.95% and a return on average assets (“ROAA”) of 1.24%. Our net interest margin, tax equivalent (“NIM”), was 3.09% for 2024, while our efficiency ratio was 46.6%.</w:t>
      </w:r>
    </w:p>
    <w:p>
      <w:pPr>
        <w:spacing w:after="0" w:line="137"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Net interest income of $ 447.3 million for the year ended December 31, 2024, decreased $40.6 million, or 8.33%, compared to the same period of 2023. Interest income grew by $ 23.8 million, or 3.92%, in 2024, offset by a $64.4 million increase in interest expense year-over-year. Cost of funds for 2024 increased by 49 basis points over 2023, while the earning asset yield grew by 25 basis points. Average earning assets declined by $275.6 million year-over-year.</w:t>
      </w:r>
    </w:p>
    <w:p>
      <w:pPr>
        <w:spacing w:after="0" w:line="128" w:lineRule="exact"/>
        <w:rPr>
          <w:sz w:val="20"/>
          <w:szCs w:val="20"/>
          <w:color w:val="auto"/>
        </w:rPr>
      </w:pPr>
    </w:p>
    <w:p>
      <w:pPr>
        <w:ind w:right="60" w:firstLine="588"/>
        <w:spacing w:after="0" w:line="243" w:lineRule="auto"/>
        <w:rPr>
          <w:sz w:val="20"/>
          <w:szCs w:val="20"/>
          <w:color w:val="auto"/>
        </w:rPr>
      </w:pPr>
      <w:r>
        <w:rPr>
          <w:rFonts w:ascii="Times New Roman" w:cs="Times New Roman" w:eastAsia="Times New Roman" w:hAnsi="Times New Roman"/>
          <w:sz w:val="16"/>
          <w:szCs w:val="16"/>
          <w:color w:val="auto"/>
        </w:rPr>
        <w:t>Noninterest income of $54.5 million for the year ended December 31, 2024, decreased $4.8 million, or 8.18%, compared to the same period of 2023. Noninterest income in 2024 included a total pre-tax loss of $28.3 million from the sale of $467 million of AFS securities partially offset by a pre- tax gain of $25.9 million from the sale-leaseback of four buildings, while 2023 included a $2.6 million gain from an equity fund distribution. Trust and investment income for 2024 grew by $1.2 million, or 9.34%, from the prior year.</w:t>
      </w:r>
    </w:p>
    <w:p>
      <w:pPr>
        <w:spacing w:after="0" w:line="131"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Noninterest expense increased from $229.9 million in 2023 to $233.6 million in 2024. The $3.7 million increase in noninterest expense generally represents normal inflationary increases in most expense categories, partially offset by a decrease in regulatory assessment expense as 2023 included the $9.2 million Special FDIC assessment.</w:t>
      </w:r>
    </w:p>
    <w:p>
      <w:pPr>
        <w:spacing w:after="0" w:line="128" w:lineRule="exact"/>
        <w:rPr>
          <w:sz w:val="20"/>
          <w:szCs w:val="20"/>
          <w:color w:val="auto"/>
        </w:rPr>
      </w:pPr>
    </w:p>
    <w:p>
      <w:pPr>
        <w:ind w:right="40" w:firstLine="588"/>
        <w:spacing w:after="0" w:line="243" w:lineRule="auto"/>
        <w:rPr>
          <w:sz w:val="20"/>
          <w:szCs w:val="20"/>
          <w:color w:val="auto"/>
        </w:rPr>
      </w:pPr>
      <w:r>
        <w:rPr>
          <w:rFonts w:ascii="Times New Roman" w:cs="Times New Roman" w:eastAsia="Times New Roman" w:hAnsi="Times New Roman"/>
          <w:sz w:val="16"/>
          <w:szCs w:val="16"/>
          <w:color w:val="auto"/>
        </w:rPr>
        <w:t>At December 31, 2024, total assets of $ 15.15 billion decreased by $867.3 million, or 5.41%, from total assets of $ 16.02 billion at December 31, 2023. Interest-earning assets of $ 13.53 billion at December 31, 2024 decreased by $934.2 million, or 6.46%, when compared with $14.46 billion at December 31, 2023. The decrease in interest -earning assets was primarily due to a $499.0 million decrease in investment securities, a $368.5 million decrease in total loans, and a decrease of $59.1 million in interest-earning balances due from the Federal Reserve.</w:t>
      </w:r>
    </w:p>
    <w:p>
      <w:pPr>
        <w:spacing w:after="0" w:line="131" w:lineRule="exact"/>
        <w:rPr>
          <w:sz w:val="20"/>
          <w:szCs w:val="20"/>
          <w:color w:val="auto"/>
        </w:rPr>
      </w:pPr>
    </w:p>
    <w:p>
      <w:pPr>
        <w:ind w:firstLine="588"/>
        <w:spacing w:after="0" w:line="275" w:lineRule="auto"/>
        <w:rPr>
          <w:sz w:val="20"/>
          <w:szCs w:val="20"/>
          <w:color w:val="auto"/>
        </w:rPr>
      </w:pPr>
      <w:r>
        <w:rPr>
          <w:rFonts w:ascii="Times New Roman" w:cs="Times New Roman" w:eastAsia="Times New Roman" w:hAnsi="Times New Roman"/>
          <w:sz w:val="14"/>
          <w:szCs w:val="14"/>
          <w:color w:val="auto"/>
        </w:rPr>
        <w:t>Total investment securities were $4.92 billion at December 31, 2024, a decrease of $499.0 million, or 9.20%, from $5.42 billion at December 31, 2023. The decrease was primarily due to principal repayments and maturities, as well as sales of securities exceeding purchases during the year. At December 31, 2024, investment securities held-to-maturity (“HTM”) totaled $2.38 billion. HTM securities decreased by $85.0 million, or 3.45% from $2.46 billion at December 31, 2023. At December 31, 2024, investment securities AFS totaled $2.54 billion, inclusive of a pre-tax net unrealized loss of $447.7 million. AFS securities decreased by $414.0 million, or</w:t>
      </w:r>
    </w:p>
    <w:p>
      <w:pPr>
        <w:ind w:right="40"/>
        <w:spacing w:after="0" w:line="235" w:lineRule="auto"/>
        <w:rPr>
          <w:sz w:val="20"/>
          <w:szCs w:val="20"/>
          <w:color w:val="auto"/>
        </w:rPr>
      </w:pPr>
      <w:r>
        <w:rPr>
          <w:rFonts w:ascii="Times New Roman" w:cs="Times New Roman" w:eastAsia="Times New Roman" w:hAnsi="Times New Roman"/>
          <w:sz w:val="16"/>
          <w:szCs w:val="16"/>
          <w:color w:val="auto"/>
        </w:rPr>
        <w:t>14.01%, from $2.96 billion at December 31, 2023, including the impact of the sale of $467 million of AFS securities in the third and fourth quarters. The sale of these securities resulted in a net pre-tax loss of $28.3 million. The securities sold had an average yield of less than three percent. The net cash proceeds from the sale of these securities was partially utilized to purchase $385 million of AFS securities in the fourth quarter of 2024, with yields that exceeded five percent. Our tax equivalent yield on our investment portfolio grew from 2.52% for 2023 to 2.65% for 2024. The 13 basis point increase in the yield on investment securities from the prior year was impacted by the positive spread generated from fair-value hedging of certain AFS securities, in which the Company receives daily SOFR and paid a weighted average fixed cost of approximately 3.8% during 2024.</w:t>
      </w:r>
    </w:p>
    <w:p>
      <w:pPr>
        <w:spacing w:after="0" w:line="137" w:lineRule="exact"/>
        <w:rPr>
          <w:sz w:val="20"/>
          <w:szCs w:val="20"/>
          <w:color w:val="auto"/>
        </w:rPr>
      </w:pPr>
    </w:p>
    <w:p>
      <w:pPr>
        <w:ind w:right="60" w:firstLine="588"/>
        <w:spacing w:after="0" w:line="280" w:lineRule="auto"/>
        <w:rPr>
          <w:sz w:val="20"/>
          <w:szCs w:val="20"/>
          <w:color w:val="auto"/>
        </w:rPr>
      </w:pPr>
      <w:r>
        <w:rPr>
          <w:rFonts w:ascii="Times New Roman" w:cs="Times New Roman" w:eastAsia="Times New Roman" w:hAnsi="Times New Roman"/>
          <w:sz w:val="14"/>
          <w:szCs w:val="14"/>
          <w:color w:val="auto"/>
        </w:rPr>
        <w:t xml:space="preserve">In June 2023, fair value hedging transactions were executed in which $1 billion notional pay-fixed interest rate swaps were consummated with maturities ranging from four to five years, wherein the Company pays a weighted average fixed rate of approximately 3.8% and receives daily SOFR. In December 2024, we terminated one of these swaps which had a notional value of $300 million, a maturity date of June 2027 and a fixed rate of 3.95%. The remaining $700 million notional pay- fixed interest rate swaps had a fair value which totaled $7.2 million and was reflected as an asset at December 31, 2024. The fair value of these instruments totaled $6.9 million and were reflected as a liability at December 31, 2023. These instruments generated interest income of $14.4 million for the year ended December 31, 2024. Refer to Note 18 –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of the notes to the consolidated financial statements of this report for additional information.</w:t>
      </w:r>
    </w:p>
    <w:p>
      <w:pPr>
        <w:spacing w:after="0" w:line="109" w:lineRule="exact"/>
        <w:rPr>
          <w:sz w:val="20"/>
          <w:szCs w:val="20"/>
          <w:color w:val="auto"/>
        </w:rPr>
      </w:pPr>
    </w:p>
    <w:p>
      <w:pPr>
        <w:ind w:right="20" w:firstLine="588"/>
        <w:spacing w:after="0" w:line="259" w:lineRule="auto"/>
        <w:rPr>
          <w:sz w:val="20"/>
          <w:szCs w:val="20"/>
          <w:color w:val="auto"/>
        </w:rPr>
      </w:pPr>
      <w:r>
        <w:rPr>
          <w:rFonts w:ascii="Times New Roman" w:cs="Times New Roman" w:eastAsia="Times New Roman" w:hAnsi="Times New Roman"/>
          <w:sz w:val="16"/>
          <w:szCs w:val="16"/>
          <w:color w:val="auto"/>
        </w:rPr>
        <w:t>Total loans and leases, at amortized cost, were $8.54 billion at December 31, 2024, a decrease of $368.5 million, or 4.14%, from $8.90 billion at December 31, 2023. The decrease in outstanding loans in 2024 was impacted by a slowdown in</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19" w:right="700" w:bottom="1440" w:gutter="0" w:footer="0" w:header="0"/>
        </w:sectPr>
      </w:pPr>
    </w:p>
    <w:bookmarkStart w:id="40" w:name="page41"/>
    <w:bookmarkEnd w:id="40"/>
    <w:p>
      <w:pPr>
        <w:spacing w:after="0" w:line="13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loan demand due to higher interest rates and borrower uncertainty about the timing and amount of future rate actions of the Federal Reserve and the outcome of the November 2024 election. The $368.5 million decrease included $277.1 million in commercial real estate loans, $50.7 million in construction loans and $44.7 million in commercial and industrial loans. Our loan yields were 5.26% for the year ended December 31, 2024, compared to 5.04% for 2023. This 22 basis point increase in our loan yields year-over-year was the result of increases in market interest rates.</w:t>
      </w:r>
    </w:p>
    <w:p>
      <w:pPr>
        <w:spacing w:after="0" w:line="131"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The allowance for credit losses totaled $ 80.1 million at December 31, 2024, compared to $ 86.8 million at December 31, 2023. At December 31, 2024, ACL as a percentage of total loans and leases outstanding was 0.94%. This compares to 0.98% at December 31, 2023. The changes in our allowance over the last few quarters have been primarily due to lower loan balances outstanding and changes in our economic forecast. Our economic forecast continues to be a blend of multiple forecasts produced by Moody’s. The resulting economic forecast reflects slower GDP growth of less than 2% for 2025 though 2027. Commercial Real Estate values are forecasted to continue their decline in 2025, with meaningful growth in values not occurring until 2027. Unemployment is forecasted to exceed 5% throughout the near term forecast periods, with a decrease below 5% in 2028.</w:t>
      </w:r>
    </w:p>
    <w:p>
      <w:pPr>
        <w:spacing w:after="0" w:line="137" w:lineRule="exact"/>
        <w:rPr>
          <w:sz w:val="20"/>
          <w:szCs w:val="20"/>
          <w:color w:val="auto"/>
        </w:rPr>
      </w:pPr>
    </w:p>
    <w:p>
      <w:pPr>
        <w:ind w:right="240" w:firstLine="588"/>
        <w:spacing w:after="0" w:line="259" w:lineRule="auto"/>
        <w:rPr>
          <w:sz w:val="20"/>
          <w:szCs w:val="20"/>
          <w:color w:val="auto"/>
        </w:rPr>
      </w:pPr>
      <w:r>
        <w:rPr>
          <w:rFonts w:ascii="Times New Roman" w:cs="Times New Roman" w:eastAsia="Times New Roman" w:hAnsi="Times New Roman"/>
          <w:sz w:val="16"/>
          <w:szCs w:val="16"/>
          <w:color w:val="auto"/>
        </w:rPr>
        <w:t>Noninterest-bearing deposits were $7.04 billion at December 31, 2024, a decrease of $169.1 million, or 2.35% when compared to $7.21 billion at December 31, 2023. At December 31, 2024, noninterest-bearing deposits were 58.90% of total deposits, compared to 63.03% at December 31, 2023.</w:t>
      </w:r>
    </w:p>
    <w:p>
      <w:pPr>
        <w:spacing w:after="0" w:line="119" w:lineRule="exact"/>
        <w:rPr>
          <w:sz w:val="20"/>
          <w:szCs w:val="20"/>
          <w:color w:val="auto"/>
        </w:rPr>
      </w:pPr>
    </w:p>
    <w:p>
      <w:pPr>
        <w:ind w:right="80" w:firstLine="600"/>
        <w:spacing w:after="0" w:line="247" w:lineRule="auto"/>
        <w:rPr>
          <w:sz w:val="20"/>
          <w:szCs w:val="20"/>
          <w:color w:val="auto"/>
        </w:rPr>
      </w:pPr>
      <w:r>
        <w:rPr>
          <w:rFonts w:ascii="Times New Roman" w:cs="Times New Roman" w:eastAsia="Times New Roman" w:hAnsi="Times New Roman"/>
          <w:sz w:val="16"/>
          <w:szCs w:val="16"/>
          <w:color w:val="auto"/>
        </w:rPr>
        <w:t>Interest-bearing deposits were $4.91 billion at December 31, 2024, an increase of $683.8 million, or 16.18%, when compared to $4.23 billion at December 31, 2023. Customer repurchase agreements totaled $261.9 million at December 31, 2024, compared to $271.6 million at December 31, 2023. Our average cost of total deposits including customer repurchase agreements for 2024 was 0.90%, compared to 0.41% for 2023.</w:t>
      </w:r>
    </w:p>
    <w:p>
      <w:pPr>
        <w:spacing w:after="0" w:line="128" w:lineRule="exact"/>
        <w:rPr>
          <w:sz w:val="20"/>
          <w:szCs w:val="20"/>
          <w:color w:val="auto"/>
        </w:rPr>
      </w:pPr>
    </w:p>
    <w:p>
      <w:pPr>
        <w:jc w:val="both"/>
        <w:ind w:right="100" w:firstLine="588"/>
        <w:spacing w:after="0" w:line="247" w:lineRule="auto"/>
        <w:rPr>
          <w:sz w:val="20"/>
          <w:szCs w:val="20"/>
          <w:color w:val="auto"/>
        </w:rPr>
      </w:pPr>
      <w:r>
        <w:rPr>
          <w:rFonts w:ascii="Times New Roman" w:cs="Times New Roman" w:eastAsia="Times New Roman" w:hAnsi="Times New Roman"/>
          <w:sz w:val="16"/>
          <w:szCs w:val="16"/>
          <w:color w:val="auto"/>
        </w:rPr>
        <w:t>In 2024, we experienced a decline in noninterest-bearing deposit levels due to the impact of higher interest rates that led to deposits moving to higher yielding alternatives, such as our money market and time deposit products. We also experienced noninterest-bearing deposits being transferred from the Bank’s balance sheet by customers to be invested by CitizensTrust in higher yielding instruments such as United States treasury notes or bonds.</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At December 31, 2024, total borrowings of $0.50 billion consisted of Federal Home Loan Bank (“FHLB”) advances, at an average cost of approximately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4.6%. Borrowings decreased $1.57 billion from $2.07 billion at December 31, 2023, primarily due to the payoff of $1.91 billion of advances from the Federal Reserve's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Bank Term Funding Program (“BTFP”) in 2024. The higher-cost short-term borrowings outstanding during most of 2024 and an increase in the cost of deposits and</w:t>
      </w:r>
    </w:p>
    <w:p>
      <w:pPr>
        <w:spacing w:after="0"/>
        <w:rPr>
          <w:sz w:val="20"/>
          <w:szCs w:val="20"/>
          <w:color w:val="auto"/>
        </w:rPr>
      </w:pPr>
      <w:r>
        <w:rPr>
          <w:rFonts w:ascii="Times New Roman" w:cs="Times New Roman" w:eastAsia="Times New Roman" w:hAnsi="Times New Roman"/>
          <w:sz w:val="16"/>
          <w:szCs w:val="16"/>
          <w:color w:val="auto"/>
        </w:rPr>
        <w:t>customer repurchase agreements of 49 basis points, increased our cost of funds by 49 basis points to 1.32% for the year ended December 31 2024.</w:t>
      </w:r>
    </w:p>
    <w:p>
      <w:pPr>
        <w:spacing w:after="0" w:line="134" w:lineRule="exact"/>
        <w:rPr>
          <w:sz w:val="20"/>
          <w:szCs w:val="20"/>
          <w:color w:val="auto"/>
        </w:rPr>
      </w:pPr>
    </w:p>
    <w:p>
      <w:pPr>
        <w:ind w:right="160" w:firstLine="588"/>
        <w:spacing w:after="0" w:line="289" w:lineRule="auto"/>
        <w:rPr>
          <w:sz w:val="20"/>
          <w:szCs w:val="20"/>
          <w:color w:val="auto"/>
        </w:rPr>
      </w:pPr>
      <w:r>
        <w:rPr>
          <w:rFonts w:ascii="Times New Roman" w:cs="Times New Roman" w:eastAsia="Times New Roman" w:hAnsi="Times New Roman"/>
          <w:sz w:val="14"/>
          <w:szCs w:val="14"/>
          <w:color w:val="auto"/>
        </w:rPr>
        <w:t>The Company’s total equity was $2.19 billion at December 31, 2024. This represented an overall increase of $108.3 million from total equity of $2.08 billion at December 31, 2023. Increases to equity included $200.7 million in net earnings and an $11.5 million increase in other comprehensive income, that were partially offset by $111.9 million in cash dividends. We did not repurchase any stock during 2024. In 2023, we repurchased 791,800 shares of common stock, at an average repurchase price of $23.43, totaling $18.5 million. Our tangible book value per share at December 31, 2024 was $10.10, compared to $9.31 at December 31, 2023.</w:t>
      </w:r>
    </w:p>
    <w:p>
      <w:pPr>
        <w:spacing w:after="0" w:line="101" w:lineRule="exact"/>
        <w:rPr>
          <w:sz w:val="20"/>
          <w:szCs w:val="20"/>
          <w:color w:val="auto"/>
        </w:rPr>
      </w:pPr>
    </w:p>
    <w:p>
      <w:pPr>
        <w:jc w:val="both"/>
        <w:ind w:right="160" w:firstLine="588"/>
        <w:spacing w:after="0" w:line="247" w:lineRule="auto"/>
        <w:rPr>
          <w:sz w:val="20"/>
          <w:szCs w:val="20"/>
          <w:color w:val="auto"/>
        </w:rPr>
      </w:pPr>
      <w:r>
        <w:rPr>
          <w:rFonts w:ascii="Times New Roman" w:cs="Times New Roman" w:eastAsia="Times New Roman" w:hAnsi="Times New Roman"/>
          <w:sz w:val="16"/>
          <w:szCs w:val="16"/>
          <w:color w:val="auto"/>
        </w:rPr>
        <w:t xml:space="preserve">Our capital ratios under the capital framework referred to as Basel III remain well above regulatory requirements. As of December 31, 2024, the Company’s Tier 1 leverage capital ratio totaled 11.46%, our common equity Tier 1 ratio totaled 16.24%, our Tier 1 risk-based capital ratio totaled 16.24%, and our total risk-based capital ratio totaled 17.06%. Refer to our </w:t>
      </w:r>
      <w:r>
        <w:rPr>
          <w:rFonts w:ascii="Times New Roman" w:cs="Times New Roman" w:eastAsia="Times New Roman" w:hAnsi="Times New Roman"/>
          <w:sz w:val="16"/>
          <w:szCs w:val="16"/>
          <w:i w:val="1"/>
          <w:iCs w:val="1"/>
          <w:color w:val="auto"/>
        </w:rPr>
        <w:t>Analysis of Financial Condition — Capital Resources.</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1" w:name="page42"/>
    <w:bookmarkEnd w:id="41"/>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Acquisition Related</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On January 7, 2022, the Company completed a merger transaction whereby Suncrest Bank (“Suncrest”), headquartered in Visalia, California, merged with and into the Company’s wholly-owned subsidiary Citizens Business Bank, in accordance with the terms and conditions of that certain Agreement and Plan of Reorganization and Merger (“Merger Agreement”), dated as of July 27, 2021, by and among the Company, the Bank and Suncrest, in a stock and cash transaction valued at approximately $237 million in aggregate, or $18.63 per Suncrest share based on CVB Financial Corp.’s closing stock price of $22.87 on January 7, 2022. Under the terms of the Merger Agreement, the Company issued approximately 8.6 million shares of Company common stock and approximately $39.6 million in aggregate cash consideration, including cash paid out in settlement of outstanding incentive stock option awards at Suncrest.</w:t>
      </w:r>
    </w:p>
    <w:p>
      <w:pPr>
        <w:spacing w:after="0" w:line="137" w:lineRule="exact"/>
        <w:rPr>
          <w:sz w:val="20"/>
          <w:szCs w:val="20"/>
          <w:color w:val="auto"/>
        </w:rPr>
      </w:pPr>
    </w:p>
    <w:p>
      <w:pPr>
        <w:ind w:right="80" w:firstLine="588"/>
        <w:spacing w:after="0" w:line="239" w:lineRule="auto"/>
        <w:rPr>
          <w:sz w:val="20"/>
          <w:szCs w:val="20"/>
          <w:color w:val="auto"/>
        </w:rPr>
      </w:pPr>
      <w:r>
        <w:rPr>
          <w:rFonts w:ascii="Times New Roman" w:cs="Times New Roman" w:eastAsia="Times New Roman" w:hAnsi="Times New Roman"/>
          <w:sz w:val="16"/>
          <w:szCs w:val="16"/>
          <w:color w:val="auto"/>
        </w:rPr>
        <w:t>At close, the total fair value of assets acquired approximated $1.38 billion in total assets, including $329.0 million of cash and cash equivalents, net of cash paid, $131.1 million of investment securities, and $765.9 million in net loans. The acquired loans were recorded at fair value, which reflected a net discount of 1.5% for the entire loan portfolio. Approximately 30% of the acquired loans are considered PCD loans. An allowance for credit loss of $8.6 million was established for these PCD loans at acquisition. In addition, the acquired PCD loans were further discounted by almost 2% to adjust them to fair value. Non-PCD loans were valued at a total premium of 0.3%, net of a credit discount of 1.5%. We recorded a loan loss provision to establish a day one allowance for credit losses of $4.9 million on the non-PCD loans.</w:t>
      </w:r>
    </w:p>
    <w:p>
      <w:pPr>
        <w:spacing w:after="0" w:line="137" w:lineRule="exact"/>
        <w:rPr>
          <w:sz w:val="20"/>
          <w:szCs w:val="20"/>
          <w:color w:val="auto"/>
        </w:rPr>
      </w:pPr>
    </w:p>
    <w:p>
      <w:pPr>
        <w:ind w:right="80" w:firstLine="588"/>
        <w:spacing w:after="0" w:line="243" w:lineRule="auto"/>
        <w:rPr>
          <w:sz w:val="20"/>
          <w:szCs w:val="20"/>
          <w:color w:val="auto"/>
        </w:rPr>
      </w:pPr>
      <w:r>
        <w:rPr>
          <w:rFonts w:ascii="Times New Roman" w:cs="Times New Roman" w:eastAsia="Times New Roman" w:hAnsi="Times New Roman"/>
          <w:sz w:val="16"/>
          <w:szCs w:val="16"/>
          <w:color w:val="auto"/>
        </w:rPr>
        <w:t>Suncrest had seven branch locations and two loan production offices in California’s Central Valley and the Sacramento area, which opened as Citizens Business Bank locations on January 10, 2022. The integration of Suncrest, including the conversion of core systems in the first quarter of 2022, was completed with the consolidation of two banking centers during the second quarter of 2022. For the year ended December 31, 2022, the Company incurred non-recurring merger related expenses associated with the Suncrest acquisition of $6.0 million.</w:t>
      </w:r>
    </w:p>
    <w:p>
      <w:pPr>
        <w:sectPr>
          <w:pgSz w:w="11900" w:h="16840" w:orient="portrait"/>
          <w:cols w:equalWidth="0" w:num="1">
            <w:col w:w="10560"/>
          </w:cols>
          <w:pgMar w:left="660" w:top="1440"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interest income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Recapture of (provision for) credit losses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Noninterest income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Noninterest expense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Income taxes</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Net earnings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Earnings per common share:</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Basic</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Diluted</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Return on average assets</w:t>
      </w:r>
    </w:p>
    <w:p>
      <w:pPr>
        <w:spacing w:after="0" w:line="7" w:lineRule="exact"/>
        <w:rPr>
          <w:sz w:val="20"/>
          <w:szCs w:val="20"/>
          <w:color w:val="auto"/>
        </w:rPr>
      </w:pPr>
    </w:p>
    <w:p>
      <w:pPr>
        <w:ind w:left="20" w:right="280"/>
        <w:spacing w:after="0" w:line="250" w:lineRule="auto"/>
        <w:rPr>
          <w:sz w:val="20"/>
          <w:szCs w:val="20"/>
          <w:color w:val="auto"/>
        </w:rPr>
      </w:pPr>
      <w:r>
        <w:rPr>
          <w:rFonts w:ascii="Times New Roman" w:cs="Times New Roman" w:eastAsia="Times New Roman" w:hAnsi="Times New Roman"/>
          <w:sz w:val="13"/>
          <w:szCs w:val="13"/>
          <w:color w:val="auto"/>
        </w:rPr>
        <w:t>Return on average shareholders’ equity Efficiency ratio</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Noninterest expense to average assets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ANALYSIS OF THE RESULTS OF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2280" w:type="dxa"/>
            <w:vAlign w:val="bottom"/>
            <w:gridSpan w:val="6"/>
            <w:vMerge w:val="restart"/>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8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0" w:type="dxa"/>
            <w:vAlign w:val="bottom"/>
          </w:tcPr>
          <w:p>
            <w:pPr>
              <w:spacing w:after="0"/>
              <w:rPr>
                <w:sz w:val="12"/>
                <w:szCs w:val="12"/>
                <w:color w:val="auto"/>
              </w:rPr>
            </w:pPr>
          </w:p>
        </w:tc>
        <w:tc>
          <w:tcPr>
            <w:tcW w:w="2280" w:type="dxa"/>
            <w:vAlign w:val="bottom"/>
            <w:gridSpan w:val="6"/>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3"/>
                <w:szCs w:val="13"/>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80" w:type="dxa"/>
            <w:vAlign w:val="bottom"/>
            <w:gridSpan w:val="8"/>
          </w:tcPr>
          <w:p>
            <w:pPr>
              <w:jc w:val="right"/>
              <w:ind w:right="600"/>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amounts)</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447,347</w:t>
            </w:r>
          </w:p>
        </w:tc>
        <w:tc>
          <w:tcPr>
            <w:tcW w:w="2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487,990</w:t>
            </w:r>
          </w:p>
        </w:tc>
        <w:tc>
          <w:tcPr>
            <w:tcW w:w="22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505,513</w:t>
            </w:r>
          </w:p>
        </w:tc>
        <w:tc>
          <w:tcPr>
            <w:tcW w:w="220" w:type="dxa"/>
            <w:vAlign w:val="bottom"/>
          </w:tcPr>
          <w:p>
            <w:pPr>
              <w:spacing w:after="0"/>
              <w:rPr>
                <w:sz w:val="13"/>
                <w:szCs w:val="13"/>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(40,643)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(8.33)%</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(17,523)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(2,000)</w:t>
            </w:r>
          </w:p>
        </w:tc>
        <w:tc>
          <w:tcPr>
            <w:tcW w:w="2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(10,600)</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250.00%</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8,600</w:t>
            </w:r>
          </w:p>
        </w:tc>
        <w:tc>
          <w:tcPr>
            <w:tcW w:w="2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81.13%</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54,474</w:t>
            </w: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59,330</w:t>
            </w: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49,989</w:t>
            </w:r>
          </w:p>
        </w:tc>
        <w:tc>
          <w:tcPr>
            <w:tcW w:w="2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(4,856)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(8.18)%</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9,341</w:t>
            </w:r>
          </w:p>
        </w:tc>
        <w:tc>
          <w:tcPr>
            <w:tcW w:w="2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18.69%</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(233,583)</w:t>
            </w:r>
          </w:p>
        </w:tc>
        <w:tc>
          <w:tcPr>
            <w:tcW w:w="2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(229,886)</w:t>
            </w:r>
          </w:p>
        </w:tc>
        <w:tc>
          <w:tcPr>
            <w:tcW w:w="2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(216,555)</w:t>
            </w:r>
          </w:p>
        </w:tc>
        <w:tc>
          <w:tcPr>
            <w:tcW w:w="2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(3,697)</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(1.61)%</w:t>
            </w:r>
          </w:p>
        </w:tc>
        <w:tc>
          <w:tcPr>
            <w:tcW w:w="24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(13,331)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(70,522)</w:t>
            </w:r>
          </w:p>
        </w:tc>
        <w:tc>
          <w:tcPr>
            <w:tcW w:w="2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(93,999)</w:t>
            </w:r>
          </w:p>
        </w:tc>
        <w:tc>
          <w:tcPr>
            <w:tcW w:w="2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(92,922)</w:t>
            </w:r>
          </w:p>
        </w:tc>
        <w:tc>
          <w:tcPr>
            <w:tcW w:w="22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23,477</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24.98%</w:t>
            </w:r>
          </w:p>
        </w:tc>
        <w:tc>
          <w:tcPr>
            <w:tcW w:w="24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(1,077)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68"/>
        </w:trPr>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200,716</w:t>
            </w:r>
          </w:p>
        </w:tc>
        <w:tc>
          <w:tcPr>
            <w:tcW w:w="220" w:type="dxa"/>
            <w:vAlign w:val="bottom"/>
          </w:tcPr>
          <w:p>
            <w:pPr>
              <w:spacing w:after="0"/>
              <w:rPr>
                <w:sz w:val="14"/>
                <w:szCs w:val="14"/>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221,435</w:t>
            </w:r>
          </w:p>
        </w:tc>
        <w:tc>
          <w:tcPr>
            <w:tcW w:w="220" w:type="dxa"/>
            <w:vAlign w:val="bottom"/>
          </w:tcPr>
          <w:p>
            <w:pPr>
              <w:spacing w:after="0"/>
              <w:rPr>
                <w:sz w:val="14"/>
                <w:szCs w:val="14"/>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235,425</w:t>
            </w:r>
          </w:p>
        </w:tc>
        <w:tc>
          <w:tcPr>
            <w:tcW w:w="220" w:type="dxa"/>
            <w:vAlign w:val="bottom"/>
          </w:tcPr>
          <w:p>
            <w:pPr>
              <w:spacing w:after="0"/>
              <w:rPr>
                <w:sz w:val="14"/>
                <w:szCs w:val="14"/>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0"/>
                <w:szCs w:val="10"/>
                <w:color w:val="auto"/>
              </w:rPr>
              <w:t>(20,719</w:t>
            </w:r>
            <w:r>
              <w:rPr>
                <w:rFonts w:ascii="Times New Roman" w:cs="Times New Roman" w:eastAsia="Times New Roman" w:hAnsi="Times New Roman"/>
                <w:sz w:val="17"/>
                <w:szCs w:val="17"/>
                <w:color w:val="auto"/>
                <w:vertAlign w:val="subscript"/>
              </w:rPr>
              <w:t>)</w:t>
            </w:r>
          </w:p>
        </w:tc>
        <w:tc>
          <w:tcPr>
            <w:tcW w:w="10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0"/>
                <w:szCs w:val="10"/>
                <w:color w:val="auto"/>
              </w:rPr>
              <w:t>(9.36</w:t>
            </w:r>
            <w:r>
              <w:rPr>
                <w:rFonts w:ascii="Times New Roman" w:cs="Times New Roman" w:eastAsia="Times New Roman" w:hAnsi="Times New Roman"/>
                <w:sz w:val="17"/>
                <w:szCs w:val="17"/>
                <w:color w:val="auto"/>
                <w:vertAlign w:val="subscript"/>
              </w:rPr>
              <w:t>)%</w:t>
            </w:r>
          </w:p>
        </w:tc>
        <w:tc>
          <w:tcPr>
            <w:tcW w:w="240" w:type="dxa"/>
            <w:vAlign w:val="bottom"/>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0"/>
                <w:szCs w:val="10"/>
                <w:color w:val="auto"/>
              </w:rPr>
              <w:t>(13,990</w:t>
            </w:r>
            <w:r>
              <w:rPr>
                <w:rFonts w:ascii="Times New Roman" w:cs="Times New Roman" w:eastAsia="Times New Roman" w:hAnsi="Times New Roman"/>
                <w:sz w:val="17"/>
                <w:szCs w:val="17"/>
                <w:color w:val="auto"/>
                <w:vertAlign w:val="subscript"/>
              </w:rPr>
              <w:t>)</w:t>
            </w:r>
          </w:p>
        </w:tc>
        <w:tc>
          <w:tcPr>
            <w:tcW w:w="8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0"/>
                <w:szCs w:val="10"/>
                <w:color w:val="auto"/>
              </w:rPr>
              <w:t xml:space="preserve">(5.94 </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0" w:type="dxa"/>
            <w:vAlign w:val="bottom"/>
            <w:vMerge w:val="restart"/>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1.44</w:t>
            </w:r>
          </w:p>
        </w:tc>
        <w:tc>
          <w:tcPr>
            <w:tcW w:w="200" w:type="dxa"/>
            <w:vAlign w:val="bottom"/>
            <w:vMerge w:val="restart"/>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1.59</w:t>
            </w:r>
          </w:p>
        </w:tc>
        <w:tc>
          <w:tcPr>
            <w:tcW w:w="2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1.67</w:t>
            </w:r>
          </w:p>
        </w:tc>
        <w:tc>
          <w:tcPr>
            <w:tcW w:w="220" w:type="dxa"/>
            <w:vAlign w:val="bottom"/>
            <w:vMerge w:val="restart"/>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(0.15)</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(0.08)</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1.44</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1.59</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1.67</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(0.15)</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(0.08)</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1.24%</w:t>
            </w:r>
          </w:p>
        </w:tc>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w:t>
            </w:r>
          </w:p>
        </w:tc>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1.39%</w:t>
            </w:r>
          </w:p>
        </w:tc>
        <w:tc>
          <w:tcPr>
            <w:tcW w:w="22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(0.11)%</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(0.04)%</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9.35%</w:t>
            </w:r>
          </w:p>
        </w:tc>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11.03%</w:t>
            </w:r>
          </w:p>
        </w:tc>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11.39%</w:t>
            </w:r>
          </w:p>
        </w:tc>
        <w:tc>
          <w:tcPr>
            <w:tcW w:w="22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(1.68)%</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(0.36)%</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46.55%</w:t>
            </w:r>
          </w:p>
        </w:tc>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42.00%</w:t>
            </w:r>
          </w:p>
        </w:tc>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38.98%</w:t>
            </w:r>
          </w:p>
        </w:tc>
        <w:tc>
          <w:tcPr>
            <w:tcW w:w="22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4.55%</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3.02%</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1.45%</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1.41%</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1.28%</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0.04%</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0.13%</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-1366520</wp:posOffset>
            </wp:positionV>
            <wp:extent cx="6707505" cy="99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-1168400</wp:posOffset>
            </wp:positionV>
            <wp:extent cx="6707505" cy="99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-969645</wp:posOffset>
            </wp:positionV>
            <wp:extent cx="6707505" cy="99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-748665</wp:posOffset>
            </wp:positionV>
            <wp:extent cx="6707505" cy="99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-497205</wp:posOffset>
            </wp:positionV>
            <wp:extent cx="6707505" cy="990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-299085</wp:posOffset>
            </wp:positionV>
            <wp:extent cx="6707505" cy="990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-100965</wp:posOffset>
            </wp:positionV>
            <wp:extent cx="6707505" cy="990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2380" w:space="720"/>
            <w:col w:w="7460"/>
          </w:cols>
          <w:pgMar w:left="660" w:top="1440" w:right="680" w:bottom="1440" w:gutter="0" w:footer="0" w:header="0"/>
          <w:type w:val="continuous"/>
        </w:sectPr>
      </w:pP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42" w:name="page43"/>
    <w:bookmarkEnd w:id="42"/>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Return on Average Tangible Common Equity Reconciliations (Non-GAAP)</w:t>
      </w:r>
    </w:p>
    <w:p>
      <w:pPr>
        <w:spacing w:after="0" w:line="156" w:lineRule="exact"/>
        <w:rPr>
          <w:sz w:val="20"/>
          <w:szCs w:val="20"/>
          <w:color w:val="auto"/>
        </w:rPr>
      </w:pPr>
    </w:p>
    <w:p>
      <w:pPr>
        <w:ind w:right="40" w:firstLine="600"/>
        <w:spacing w:after="0" w:line="243" w:lineRule="auto"/>
        <w:rPr>
          <w:sz w:val="20"/>
          <w:szCs w:val="20"/>
          <w:color w:val="auto"/>
        </w:rPr>
      </w:pPr>
      <w:r>
        <w:rPr>
          <w:rFonts w:ascii="Times New Roman" w:cs="Times New Roman" w:eastAsia="Times New Roman" w:hAnsi="Times New Roman"/>
          <w:sz w:val="16"/>
          <w:szCs w:val="16"/>
          <w:color w:val="auto"/>
        </w:rPr>
        <w:t>The return on average tangible common equity is a non-GAAP disclosure. The Company uses certain non-GAAP financial measures commonly used by banking analysts and investors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8"/>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r>
      <w:tr>
        <w:trPr>
          <w:trHeight w:val="182"/>
        </w:trPr>
        <w:tc>
          <w:tcPr>
            <w:tcW w:w="6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200,716</w:t>
            </w:r>
          </w:p>
        </w:tc>
        <w:tc>
          <w:tcPr>
            <w:tcW w:w="1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221,435</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235,425</w:t>
            </w:r>
          </w:p>
        </w:tc>
        <w:tc>
          <w:tcPr>
            <w:tcW w:w="120" w:type="dxa"/>
            <w:vAlign w:val="bottom"/>
            <w:shd w:val="clear" w:color="auto" w:fill="CFF0FC"/>
          </w:tcPr>
          <w:p>
            <w:pPr>
              <w:spacing w:after="0"/>
              <w:rPr>
                <w:sz w:val="14"/>
                <w:szCs w:val="14"/>
                <w:color w:val="auto"/>
              </w:rPr>
            </w:pPr>
          </w:p>
        </w:tc>
      </w:tr>
      <w:tr>
        <w:trPr>
          <w:trHeight w:val="168"/>
        </w:trPr>
        <w:tc>
          <w:tcPr>
            <w:tcW w:w="6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 Amortization of intangible assets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120" w:type="dxa"/>
            <w:vAlign w:val="bottom"/>
          </w:tcPr>
          <w:p>
            <w:pPr>
              <w:spacing w:after="0"/>
              <w:rPr>
                <w:sz w:val="14"/>
                <w:szCs w:val="14"/>
                <w:color w:val="auto"/>
              </w:rPr>
            </w:pPr>
          </w:p>
        </w:tc>
      </w:tr>
      <w:tr>
        <w:trPr>
          <w:trHeight w:val="168"/>
        </w:trPr>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Less: Tax effect of amortization of intangible assets (1)</w:t>
            </w: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(1,574)</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(1,907)</w:t>
            </w: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(2,237)</w:t>
            </w:r>
          </w:p>
        </w:tc>
      </w:tr>
      <w:tr>
        <w:trPr>
          <w:trHeight w:val="168"/>
        </w:trPr>
        <w:tc>
          <w:tcPr>
            <w:tcW w:w="6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Tangible net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204,466</w:t>
            </w:r>
          </w:p>
        </w:tc>
        <w:tc>
          <w:tcPr>
            <w:tcW w:w="180" w:type="dxa"/>
            <w:vAlign w:val="bottom"/>
          </w:tcPr>
          <w:p>
            <w:pPr>
              <w:spacing w:after="0"/>
              <w:rPr>
                <w:sz w:val="14"/>
                <w:szCs w:val="14"/>
                <w:color w:val="auto"/>
              </w:rPr>
            </w:pPr>
          </w:p>
        </w:tc>
        <w:tc>
          <w:tcPr>
            <w:tcW w:w="3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225,980</w:t>
            </w:r>
          </w:p>
        </w:tc>
        <w:tc>
          <w:tcPr>
            <w:tcW w:w="26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240,754</w:t>
            </w:r>
          </w:p>
        </w:tc>
        <w:tc>
          <w:tcPr>
            <w:tcW w:w="120" w:type="dxa"/>
            <w:vAlign w:val="bottom"/>
          </w:tcPr>
          <w:p>
            <w:pPr>
              <w:spacing w:after="0"/>
              <w:rPr>
                <w:sz w:val="14"/>
                <w:szCs w:val="14"/>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4"/>
        </w:trPr>
        <w:tc>
          <w:tcPr>
            <w:tcW w:w="6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8"/>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stockholders’ equity</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2,145,665</w:t>
            </w:r>
          </w:p>
        </w:tc>
        <w:tc>
          <w:tcPr>
            <w:tcW w:w="1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2,006,882</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2,066,463</w:t>
            </w:r>
          </w:p>
        </w:tc>
        <w:tc>
          <w:tcPr>
            <w:tcW w:w="120" w:type="dxa"/>
            <w:vAlign w:val="bottom"/>
            <w:shd w:val="clear" w:color="auto" w:fill="CFF0FC"/>
          </w:tcPr>
          <w:p>
            <w:pPr>
              <w:spacing w:after="0"/>
              <w:rPr>
                <w:sz w:val="14"/>
                <w:szCs w:val="14"/>
                <w:color w:val="auto"/>
              </w:rPr>
            </w:pPr>
          </w:p>
        </w:tc>
      </w:tr>
      <w:tr>
        <w:trPr>
          <w:trHeight w:val="168"/>
        </w:trPr>
        <w:tc>
          <w:tcPr>
            <w:tcW w:w="6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Average goodwill</w:t>
            </w:r>
          </w:p>
        </w:tc>
        <w:tc>
          <w:tcPr>
            <w:tcW w:w="280" w:type="dxa"/>
            <w:vAlign w:val="bottom"/>
          </w:tcPr>
          <w:p>
            <w:pPr>
              <w:spacing w:after="0"/>
              <w:rPr>
                <w:sz w:val="14"/>
                <w:szCs w:val="14"/>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(765,822)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(765,822)</w:t>
            </w:r>
          </w:p>
        </w:tc>
        <w:tc>
          <w:tcPr>
            <w:tcW w:w="28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(764,143)</w:t>
            </w:r>
          </w:p>
        </w:tc>
      </w:tr>
      <w:tr>
        <w:trPr>
          <w:trHeight w:val="168"/>
        </w:trPr>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Less: Average intangible assets</w:t>
            </w: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(12,571)</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(18,434)</w:t>
            </w: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(25,376)</w:t>
            </w:r>
          </w:p>
        </w:tc>
      </w:tr>
      <w:tr>
        <w:trPr>
          <w:trHeight w:val="204"/>
        </w:trPr>
        <w:tc>
          <w:tcPr>
            <w:tcW w:w="6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Average tangible common equity</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1,367,272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1,222,626</w:t>
            </w:r>
          </w:p>
        </w:tc>
        <w:tc>
          <w:tcPr>
            <w:tcW w:w="26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1,276,944</w:t>
            </w:r>
          </w:p>
        </w:tc>
        <w:tc>
          <w:tcPr>
            <w:tcW w:w="12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4"/>
        </w:trPr>
        <w:tc>
          <w:tcPr>
            <w:tcW w:w="6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68"/>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Return on average equity, annualized (2)</w:t>
            </w: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11.03%</w:t>
            </w: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11.39%</w:t>
            </w:r>
          </w:p>
        </w:tc>
      </w:tr>
      <w:tr>
        <w:trPr>
          <w:trHeight w:val="188"/>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average tangible common equity, annualized (2)</w:t>
            </w:r>
          </w:p>
        </w:tc>
        <w:tc>
          <w:tcPr>
            <w:tcW w:w="2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18.48%</w:t>
            </w:r>
          </w:p>
        </w:tc>
        <w:tc>
          <w:tcPr>
            <w:tcW w:w="2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18.85%</w:t>
            </w:r>
          </w:p>
        </w:tc>
      </w:tr>
    </w:tbl>
    <w:p>
      <w:pPr>
        <w:spacing w:after="0" w:line="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(1)Tax effected at respective statutory rates.</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(2)Annualized where applicable.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Interest Income</w:t>
      </w:r>
    </w:p>
    <w:p>
      <w:pPr>
        <w:spacing w:after="0" w:line="156" w:lineRule="exact"/>
        <w:rPr>
          <w:sz w:val="20"/>
          <w:szCs w:val="20"/>
          <w:color w:val="auto"/>
        </w:rPr>
      </w:pPr>
    </w:p>
    <w:p>
      <w:pPr>
        <w:ind w:right="20" w:firstLine="588"/>
        <w:spacing w:after="0" w:line="237" w:lineRule="auto"/>
        <w:rPr>
          <w:sz w:val="20"/>
          <w:szCs w:val="20"/>
          <w:color w:val="auto"/>
        </w:rPr>
      </w:pPr>
      <w:r>
        <w:rPr>
          <w:rFonts w:ascii="Times New Roman" w:cs="Times New Roman" w:eastAsia="Times New Roman" w:hAnsi="Times New Roman"/>
          <w:sz w:val="16"/>
          <w:szCs w:val="16"/>
          <w:color w:val="auto"/>
        </w:rPr>
        <w:t xml:space="preserve">The principal component of our earnings is net interest income, which is the difference between the interest and fees earned on loans, investments and interest earning cash (interest- earning assets) and the interest paid on deposits and borrowed funds (interest-bearing liabilities). Net interest margin is net interest income as a percentage of average interest- 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years ended December 31, 2024, 2023 and 2022. Our net interest income, interest spread, and net interest margin are sensitive to general business and economic conditions. These conditions include short-term and long-term interest rates, inflation, monetary policy, and the strength of the global,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 -earning assets as well as the mix of interest-bearing liabilities, changes in the level of interest-bearing liabilities in proportion to interest-earning assets, the growth and maturity of earning assets, and derivative financial instruments. See Item 7 — </w:t>
      </w:r>
      <w:r>
        <w:rPr>
          <w:rFonts w:ascii="Times New Roman" w:cs="Times New Roman" w:eastAsia="Times New Roman" w:hAnsi="Times New Roman"/>
          <w:sz w:val="16"/>
          <w:szCs w:val="16"/>
          <w:i w:val="1"/>
          <w:iCs w:val="1"/>
          <w:color w:val="auto"/>
        </w:rPr>
        <w:t>Management’s Discussion and Analysis of Financial Condition and Results of Operations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Asset/Liability and Market Risk Management — Interest Rate Sensitivity Management </w:t>
      </w:r>
      <w:r>
        <w:rPr>
          <w:rFonts w:ascii="Times New Roman" w:cs="Times New Roman" w:eastAsia="Times New Roman" w:hAnsi="Times New Roman"/>
          <w:sz w:val="16"/>
          <w:szCs w:val="16"/>
          <w:color w:val="auto"/>
        </w:rPr>
        <w:t>included herein.</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3" w:name="page44"/>
    <w:bookmarkEnd w:id="43"/>
    <w:p>
      <w:pPr>
        <w:spacing w:after="0" w:line="137" w:lineRule="exact"/>
        <w:rPr>
          <w:sz w:val="20"/>
          <w:szCs w:val="20"/>
          <w:color w:val="auto"/>
        </w:rPr>
      </w:pPr>
    </w:p>
    <w:p>
      <w:pPr>
        <w:ind w:right="500" w:firstLine="600"/>
        <w:spacing w:after="0" w:line="331" w:lineRule="auto"/>
        <w:rPr>
          <w:sz w:val="20"/>
          <w:szCs w:val="20"/>
          <w:color w:val="auto"/>
        </w:rPr>
      </w:pPr>
      <w:r>
        <w:rPr>
          <w:rFonts w:ascii="Times New Roman" w:cs="Times New Roman" w:eastAsia="Times New Roman" w:hAnsi="Times New Roman"/>
          <w:sz w:val="14"/>
          <w:szCs w:val="14"/>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Interest-Earning Assets and Interest-Bearing Liabilities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5"/>
          </w:tcPr>
          <w:p>
            <w:pPr>
              <w:jc w:val="center"/>
              <w:ind w:left="33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15"/>
                <w:szCs w:val="15"/>
                <w:color w:val="auto"/>
              </w:rPr>
            </w:pPr>
          </w:p>
        </w:tc>
        <w:tc>
          <w:tcPr>
            <w:tcW w:w="64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0" w:type="dxa"/>
            <w:vAlign w:val="bottom"/>
          </w:tcPr>
          <w:p>
            <w:pPr>
              <w:spacing w:after="0"/>
              <w:rPr>
                <w:sz w:val="15"/>
                <w:szCs w:val="15"/>
                <w:color w:val="auto"/>
              </w:rPr>
            </w:pPr>
          </w:p>
        </w:tc>
        <w:tc>
          <w:tcPr>
            <w:tcW w:w="92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40" w:type="dxa"/>
            <w:vAlign w:val="bottom"/>
          </w:tcPr>
          <w:p>
            <w:pPr>
              <w:spacing w:after="0"/>
              <w:rPr>
                <w:sz w:val="15"/>
                <w:szCs w:val="15"/>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5"/>
                <w:szCs w:val="15"/>
                <w:color w:val="auto"/>
              </w:rPr>
            </w:pPr>
          </w:p>
        </w:tc>
        <w:tc>
          <w:tcPr>
            <w:tcW w:w="660" w:type="dxa"/>
            <w:vAlign w:val="bottom"/>
          </w:tcPr>
          <w:p>
            <w:pPr>
              <w:jc w:val="center"/>
              <w:ind w:right="29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00" w:type="dxa"/>
            <w:vAlign w:val="bottom"/>
          </w:tcPr>
          <w:p>
            <w:pPr>
              <w:spacing w:after="0"/>
              <w:rPr>
                <w:sz w:val="15"/>
                <w:szCs w:val="15"/>
                <w:color w:val="auto"/>
              </w:rPr>
            </w:pPr>
          </w:p>
        </w:tc>
        <w:tc>
          <w:tcPr>
            <w:tcW w:w="760" w:type="dxa"/>
            <w:vAlign w:val="bottom"/>
            <w:vMerge w:val="restart"/>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5"/>
                <w:szCs w:val="15"/>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5"/>
                <w:szCs w:val="15"/>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Yield/</w:t>
            </w:r>
          </w:p>
        </w:tc>
        <w:tc>
          <w:tcPr>
            <w:tcW w:w="0" w:type="dxa"/>
            <w:vAlign w:val="bottom"/>
          </w:tcPr>
          <w:p>
            <w:pPr>
              <w:spacing w:after="0"/>
              <w:rPr>
                <w:sz w:val="1"/>
                <w:szCs w:val="1"/>
                <w:color w:val="auto"/>
              </w:rPr>
            </w:pPr>
          </w:p>
        </w:tc>
      </w:tr>
      <w:tr>
        <w:trPr>
          <w:trHeight w:val="138"/>
        </w:trPr>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0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Rate</w:t>
            </w:r>
          </w:p>
        </w:tc>
        <w:tc>
          <w:tcPr>
            <w:tcW w:w="14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Rate</w:t>
            </w:r>
          </w:p>
        </w:tc>
        <w:tc>
          <w:tcPr>
            <w:tcW w:w="16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0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Rate</w:t>
            </w: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center"/>
              <w:ind w:left="31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INTEREST-EARNING</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securities (1)</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00" w:type="dxa"/>
            <w:vAlign w:val="bottom"/>
            <w:shd w:val="clear" w:color="auto" w:fill="CFF0FC"/>
          </w:tcPr>
          <w:p>
            <w:pPr>
              <w:ind w:left="400"/>
              <w:spacing w:after="0" w:line="144" w:lineRule="exact"/>
              <w:rPr>
                <w:sz w:val="20"/>
                <w:szCs w:val="20"/>
                <w:color w:val="auto"/>
              </w:rPr>
            </w:pPr>
            <w:r>
              <w:rPr>
                <w:rFonts w:ascii="Times New Roman" w:cs="Times New Roman" w:eastAsia="Times New Roman" w:hAnsi="Times New Roman"/>
                <w:sz w:val="13"/>
                <w:szCs w:val="13"/>
                <w:color w:val="auto"/>
              </w:rPr>
              <w:t>Available-for-sale</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securities: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Taxable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2,691,963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80,226</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2.99%</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3,040,968</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82,889</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2.73%</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3,505,517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67,803</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Tax-advantaged</w:t>
            </w: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24,618</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3.23%</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25,319</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3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3.19%</w:t>
            </w: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27,070</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00" w:type="dxa"/>
            <w:vAlign w:val="bottom"/>
          </w:tcPr>
          <w:p>
            <w:pPr>
              <w:ind w:left="400"/>
              <w:spacing w:after="0" w:line="144" w:lineRule="exact"/>
              <w:rPr>
                <w:sz w:val="20"/>
                <w:szCs w:val="20"/>
                <w:color w:val="auto"/>
              </w:rPr>
            </w:pPr>
            <w:r>
              <w:rPr>
                <w:rFonts w:ascii="Times New Roman" w:cs="Times New Roman" w:eastAsia="Times New Roman" w:hAnsi="Times New Roman"/>
                <w:sz w:val="13"/>
                <w:szCs w:val="13"/>
                <w:color w:val="auto"/>
              </w:rPr>
              <w:t>Held-to-maturity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securities: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Taxable</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2,055,597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43,574</w:t>
            </w: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2.12%</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2,132,360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44,990</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2.11%</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2,090,984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41,403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Tax-advantaged</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372,377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9,577</w:t>
            </w:r>
          </w:p>
        </w:tc>
        <w:tc>
          <w:tcPr>
            <w:tcW w:w="200" w:type="dxa"/>
            <w:vAlign w:val="bottom"/>
          </w:tcPr>
          <w:p>
            <w:pPr>
              <w:spacing w:after="0"/>
              <w:rPr>
                <w:sz w:val="13"/>
                <w:szCs w:val="13"/>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3.11%</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380,841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9,760</w:t>
            </w:r>
          </w:p>
        </w:tc>
        <w:tc>
          <w:tcPr>
            <w:tcW w:w="30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3.10%</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315,983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7,645</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Investment in FHLB stock</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18,012</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8.61%</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25,078</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1,861</w:t>
            </w: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7.42%</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18,309</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Interest-earning deposits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with other institutions</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720,428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38,765</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5.38%</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331,156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17,861</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5.39%</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804,744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6,713</w:t>
            </w:r>
          </w:p>
        </w:tc>
        <w:tc>
          <w:tcPr>
            <w:tcW w:w="2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0.83%</w:t>
            </w:r>
          </w:p>
        </w:tc>
        <w:tc>
          <w:tcPr>
            <w:tcW w:w="0" w:type="dxa"/>
            <w:vAlign w:val="bottom"/>
          </w:tcPr>
          <w:p>
            <w:pPr>
              <w:spacing w:after="0"/>
              <w:rPr>
                <w:sz w:val="1"/>
                <w:szCs w:val="1"/>
                <w:color w:val="auto"/>
              </w:rPr>
            </w:pPr>
          </w:p>
        </w:tc>
      </w:tr>
      <w:tr>
        <w:trPr>
          <w:trHeight w:val="156"/>
        </w:trPr>
        <w:tc>
          <w:tcPr>
            <w:tcW w:w="1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Loans (2)</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8,670,420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455,755</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5.26%</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8,893,335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448,295</w:t>
            </w:r>
          </w:p>
        </w:tc>
        <w:tc>
          <w:tcPr>
            <w:tcW w:w="3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5.04%</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8,676,820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389,192</w:t>
            </w: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interest-earning assets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14,553,415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630,112</w:t>
            </w:r>
          </w:p>
        </w:tc>
        <w:tc>
          <w:tcPr>
            <w:tcW w:w="200" w:type="dxa"/>
            <w:vAlign w:val="bottom"/>
          </w:tcPr>
          <w:p>
            <w:pPr>
              <w:spacing w:after="0"/>
              <w:rPr>
                <w:sz w:val="13"/>
                <w:szCs w:val="13"/>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4.35%</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14,829,057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606,330</w:t>
            </w:r>
          </w:p>
        </w:tc>
        <w:tc>
          <w:tcPr>
            <w:tcW w:w="30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4.10%</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15,439,427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514,668</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00" w:type="dxa"/>
            <w:vAlign w:val="bottom"/>
            <w:shd w:val="clear" w:color="auto" w:fill="CFF0FC"/>
          </w:tcPr>
          <w:p>
            <w:pPr>
              <w:ind w:left="140"/>
              <w:spacing w:after="0" w:line="144" w:lineRule="exact"/>
              <w:rPr>
                <w:sz w:val="20"/>
                <w:szCs w:val="20"/>
                <w:color w:val="auto"/>
              </w:rPr>
            </w:pPr>
            <w:r>
              <w:rPr>
                <w:rFonts w:ascii="Times New Roman" w:cs="Times New Roman" w:eastAsia="Times New Roman" w:hAnsi="Times New Roman"/>
                <w:sz w:val="13"/>
                <w:szCs w:val="13"/>
                <w:color w:val="auto"/>
              </w:rPr>
              <w:t>Total noninterest-earning</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assets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1,586,183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1,517,115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1,472,234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16,139,598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16,346,172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16,911,661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80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3"/>
                <w:szCs w:val="13"/>
                <w:color w:val="auto"/>
              </w:rPr>
              <w:t>INTEREST-BEARING</w:t>
            </w: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Savings deposits (3)</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4,143,453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85,539</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2.06%</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4,340,529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49,019</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1.13%</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4,866,503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6,591</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Time deposits</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635,728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19,944</w:t>
            </w: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3.14%</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304,053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2,516</w:t>
            </w:r>
          </w:p>
        </w:tc>
        <w:tc>
          <w:tcPr>
            <w:tcW w:w="3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0.83%</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358,578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00" w:type="dxa"/>
            <w:vAlign w:val="bottom"/>
          </w:tcPr>
          <w:p>
            <w:pPr>
              <w:ind w:left="400"/>
              <w:spacing w:after="0" w:line="144" w:lineRule="exact"/>
              <w:rPr>
                <w:sz w:val="20"/>
                <w:szCs w:val="20"/>
                <w:color w:val="auto"/>
              </w:rPr>
            </w:pPr>
            <w:r>
              <w:rPr>
                <w:rFonts w:ascii="Times New Roman" w:cs="Times New Roman" w:eastAsia="Times New Roman" w:hAnsi="Times New Roman"/>
                <w:sz w:val="13"/>
                <w:szCs w:val="13"/>
                <w:color w:val="auto"/>
              </w:rPr>
              <w:t>Total interest-bearing</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deposits</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4,779,181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105,483</w:t>
            </w:r>
          </w:p>
        </w:tc>
        <w:tc>
          <w:tcPr>
            <w:tcW w:w="200" w:type="dxa"/>
            <w:vAlign w:val="bottom"/>
          </w:tcPr>
          <w:p>
            <w:pPr>
              <w:spacing w:after="0"/>
              <w:rPr>
                <w:sz w:val="14"/>
                <w:szCs w:val="14"/>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2.21%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4,644,582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51,535</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1.11%</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5,225,081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6,830</w:t>
            </w:r>
          </w:p>
        </w:tc>
        <w:tc>
          <w:tcPr>
            <w:tcW w:w="2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0" w:type="dxa"/>
            <w:vAlign w:val="bottom"/>
          </w:tcPr>
          <w:p>
            <w:pPr>
              <w:spacing w:after="0"/>
              <w:rPr>
                <w:sz w:val="1"/>
                <w:szCs w:val="1"/>
                <w:color w:val="auto"/>
              </w:rPr>
            </w:pPr>
          </w:p>
        </w:tc>
      </w:tr>
      <w:tr>
        <w:trPr>
          <w:trHeight w:val="144"/>
        </w:trPr>
        <w:tc>
          <w:tcPr>
            <w:tcW w:w="1800" w:type="dxa"/>
            <w:vAlign w:val="bottom"/>
            <w:shd w:val="clear" w:color="auto" w:fill="CFF0FC"/>
          </w:tcPr>
          <w:p>
            <w:pPr>
              <w:ind w:left="140"/>
              <w:spacing w:after="0" w:line="144" w:lineRule="exact"/>
              <w:rPr>
                <w:sz w:val="20"/>
                <w:szCs w:val="20"/>
                <w:color w:val="auto"/>
              </w:rPr>
            </w:pPr>
            <w:r>
              <w:rPr>
                <w:rFonts w:ascii="Times New Roman" w:cs="Times New Roman" w:eastAsia="Times New Roman" w:hAnsi="Times New Roman"/>
                <w:sz w:val="13"/>
                <w:szCs w:val="13"/>
                <w:color w:val="auto"/>
              </w:rPr>
              <w:t>FHLB advances, other</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borrowings, and customer</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repurchase agreements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1,870,157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76,709</w:t>
            </w: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4.10%</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1,773,211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66,805</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3.77%</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613,962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2,325</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Interest expense - 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interest-bearing liabilities</w:t>
            </w: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11,947</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200" w:type="dxa"/>
            <w:vAlign w:val="bottom"/>
          </w:tcPr>
          <w:p>
            <w:pPr>
              <w:spacing w:after="0"/>
              <w:rPr>
                <w:sz w:val="14"/>
                <w:szCs w:val="14"/>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4.72%</w:t>
            </w:r>
          </w:p>
        </w:tc>
        <w:tc>
          <w:tcPr>
            <w:tcW w:w="1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Interest-bearing liabilities</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6,661,285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182,765</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2.74%</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6,417,793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118,340</w:t>
            </w:r>
          </w:p>
        </w:tc>
        <w:tc>
          <w:tcPr>
            <w:tcW w:w="3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1.84%</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5,839,043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9,155</w:t>
            </w: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7,144,129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7,793,336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8,839,577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Other liabilities</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188,519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128,161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166,578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Stockholders’ equity</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2,145,665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2,006,882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2,066,463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00" w:type="dxa"/>
            <w:vAlign w:val="bottom"/>
            <w:shd w:val="clear" w:color="auto" w:fill="CFF0FC"/>
          </w:tcPr>
          <w:p>
            <w:pPr>
              <w:ind w:left="140"/>
              <w:spacing w:after="0" w:line="144" w:lineRule="exact"/>
              <w:rPr>
                <w:sz w:val="20"/>
                <w:szCs w:val="20"/>
                <w:color w:val="auto"/>
              </w:rPr>
            </w:pPr>
            <w:r>
              <w:rPr>
                <w:rFonts w:ascii="Times New Roman" w:cs="Times New Roman" w:eastAsia="Times New Roman" w:hAnsi="Times New Roman"/>
                <w:sz w:val="13"/>
                <w:szCs w:val="13"/>
                <w:color w:val="auto"/>
              </w:rPr>
              <w:t>Total liabilities and</w:t>
            </w:r>
          </w:p>
        </w:tc>
        <w:tc>
          <w:tcPr>
            <w:tcW w:w="16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16,139,598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16,346,172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16,911,661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0" w:type="dxa"/>
            <w:vAlign w:val="bottom"/>
            <w:tcBorders>
              <w:bottom w:val="single" w:sz="8" w:color="CFF0FC"/>
            </w:tcBorders>
            <w:shd w:val="clear" w:color="auto" w:fill="CFF0FC"/>
          </w:tcPr>
          <w:p>
            <w:pPr>
              <w:ind w:left="140"/>
              <w:spacing w:after="0" w:line="112" w:lineRule="exact"/>
              <w:rPr>
                <w:sz w:val="20"/>
                <w:szCs w:val="20"/>
                <w:color w:val="auto"/>
              </w:rPr>
            </w:pPr>
            <w:r>
              <w:rPr>
                <w:rFonts w:ascii="Times New Roman" w:cs="Times New Roman" w:eastAsia="Times New Roman" w:hAnsi="Times New Roman"/>
                <w:sz w:val="12"/>
                <w:szCs w:val="12"/>
                <w:color w:val="auto"/>
              </w:rPr>
              <w:t>stockholders’ equity</w:t>
            </w: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800" w:type="dxa"/>
            <w:vAlign w:val="bottom"/>
          </w:tcPr>
          <w:p>
            <w:pPr>
              <w:ind w:left="140"/>
              <w:spacing w:after="0" w:line="133" w:lineRule="exact"/>
              <w:rPr>
                <w:sz w:val="20"/>
                <w:szCs w:val="20"/>
                <w:color w:val="auto"/>
              </w:rPr>
            </w:pPr>
            <w:r>
              <w:rPr>
                <w:rFonts w:ascii="Times New Roman" w:cs="Times New Roman" w:eastAsia="Times New Roman" w:hAnsi="Times New Roman"/>
                <w:sz w:val="13"/>
                <w:szCs w:val="13"/>
                <w:color w:val="auto"/>
              </w:rPr>
              <w:t>Net interest income</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447,347</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487,990</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505,513</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800" w:type="dxa"/>
            <w:vAlign w:val="bottom"/>
            <w:shd w:val="clear" w:color="auto" w:fill="CFF0FC"/>
          </w:tcPr>
          <w:p>
            <w:pPr>
              <w:ind w:left="280"/>
              <w:spacing w:after="0" w:line="121" w:lineRule="exact"/>
              <w:rPr>
                <w:sz w:val="20"/>
                <w:szCs w:val="20"/>
                <w:color w:val="auto"/>
              </w:rPr>
            </w:pPr>
            <w:r>
              <w:rPr>
                <w:rFonts w:ascii="Times New Roman" w:cs="Times New Roman" w:eastAsia="Times New Roman" w:hAnsi="Times New Roman"/>
                <w:sz w:val="13"/>
                <w:szCs w:val="13"/>
                <w:color w:val="auto"/>
              </w:rPr>
              <w:t>Net interest spread - tax</w:t>
            </w: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equivalent</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1.60%</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2.26%</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interest margin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3.08%</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3.29%</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00" w:type="dxa"/>
            <w:vAlign w:val="bottom"/>
            <w:shd w:val="clear" w:color="auto" w:fill="CFF0FC"/>
          </w:tcPr>
          <w:p>
            <w:pPr>
              <w:ind w:left="280"/>
              <w:spacing w:after="0" w:line="144" w:lineRule="exact"/>
              <w:rPr>
                <w:sz w:val="20"/>
                <w:szCs w:val="20"/>
                <w:color w:val="auto"/>
              </w:rPr>
            </w:pPr>
            <w:r>
              <w:rPr>
                <w:rFonts w:ascii="Times New Roman" w:cs="Times New Roman" w:eastAsia="Times New Roman" w:hAnsi="Times New Roman"/>
                <w:sz w:val="13"/>
                <w:szCs w:val="13"/>
                <w:color w:val="auto"/>
              </w:rPr>
              <w:t>Net interest margin - tax</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equivalent</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3.09%</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3.31%</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4" w:name="page45"/>
    <w:bookmarkEnd w:id="44"/>
    <w:p>
      <w:pPr>
        <w:spacing w:after="0" w:line="211" w:lineRule="exact"/>
        <w:rPr>
          <w:sz w:val="20"/>
          <w:szCs w:val="20"/>
          <w:color w:val="auto"/>
        </w:rPr>
      </w:pPr>
    </w:p>
    <w:p>
      <w:pPr>
        <w:ind w:left="600" w:right="40"/>
        <w:spacing w:after="0" w:line="261" w:lineRule="auto"/>
        <w:rPr>
          <w:sz w:val="20"/>
          <w:szCs w:val="20"/>
          <w:color w:val="auto"/>
        </w:rPr>
      </w:pPr>
      <w:r>
        <w:rPr>
          <w:rFonts w:ascii="Times New Roman" w:cs="Times New Roman" w:eastAsia="Times New Roman" w:hAnsi="Times New Roman"/>
          <w:sz w:val="13"/>
          <w:szCs w:val="13"/>
          <w:color w:val="auto"/>
        </w:rPr>
        <w:t>(1)Includes tax equivalent (TE) adjustments utilizing a federal statutory rate of 21% in effect for the years ended December 31, 2024, 2023 and 2022. The non-TE rates for total investment securities was 2.61%, 2.48% and 2.00% for the years ended December 31, 2024, 2023 and 2022, respectively.</w:t>
      </w:r>
    </w:p>
    <w:p>
      <w:pPr>
        <w:spacing w:after="0" w:line="1" w:lineRule="exact"/>
        <w:rPr>
          <w:sz w:val="20"/>
          <w:szCs w:val="20"/>
          <w:color w:val="auto"/>
        </w:rPr>
      </w:pPr>
    </w:p>
    <w:p>
      <w:pPr>
        <w:ind w:left="600" w:right="260"/>
        <w:spacing w:after="0" w:line="250" w:lineRule="auto"/>
        <w:rPr>
          <w:sz w:val="20"/>
          <w:szCs w:val="20"/>
          <w:color w:val="auto"/>
        </w:rPr>
      </w:pPr>
      <w:r>
        <w:rPr>
          <w:rFonts w:ascii="Times New Roman" w:cs="Times New Roman" w:eastAsia="Times New Roman" w:hAnsi="Times New Roman"/>
          <w:sz w:val="13"/>
          <w:szCs w:val="13"/>
          <w:color w:val="auto"/>
        </w:rPr>
        <w:t>(2)Includes loan fees of $2.9 million, $3.1 million and $ 8.1 million for the years ended December 31, 2024, 2023 and 2022, respectively. Prepayment penalty fees of $2.6 million, $2.5 million and $6.9 million are included in interest income for the years ended December 31, 2024, 2023 and 2022, respectively.</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(3)Includes interest-bearing demand and money market accounts.</w:t>
      </w:r>
    </w:p>
    <w:p>
      <w:pPr>
        <w:spacing w:after="0" w:line="303" w:lineRule="exact"/>
        <w:rPr>
          <w:sz w:val="20"/>
          <w:szCs w:val="20"/>
          <w:color w:val="auto"/>
        </w:rPr>
      </w:pPr>
    </w:p>
    <w:p>
      <w:pPr>
        <w:ind w:firstLine="600"/>
        <w:spacing w:after="0" w:line="241" w:lineRule="auto"/>
        <w:rPr>
          <w:sz w:val="20"/>
          <w:szCs w:val="20"/>
          <w:color w:val="auto"/>
        </w:rPr>
      </w:pPr>
      <w:r>
        <w:rPr>
          <w:rFonts w:ascii="Times New Roman" w:cs="Times New Roman" w:eastAsia="Times New Roman" w:hAnsi="Times New Roman"/>
          <w:sz w:val="16"/>
          <w:szCs w:val="16"/>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Rate and Volume Analysis for Changes in Interest Income, Interest Expense and Net Interest Income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Comparison of Year Ended December 31,</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2024 Compared to 2023</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2023 Compared to 2022</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5"/>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Increase (Decrease) Due to</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Increase (Decrease) Due to</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140" w:type="dxa"/>
            <w:vAlign w:val="bottom"/>
          </w:tcPr>
          <w:p>
            <w:pPr>
              <w:spacing w:after="0"/>
              <w:rPr>
                <w:sz w:val="13"/>
                <w:szCs w:val="13"/>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180" w:type="dxa"/>
            <w:vAlign w:val="bottom"/>
          </w:tcPr>
          <w:p>
            <w:pPr>
              <w:spacing w:after="0"/>
              <w:rPr>
                <w:sz w:val="13"/>
                <w:szCs w:val="13"/>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100" w:type="dxa"/>
            <w:vAlign w:val="bottom"/>
          </w:tcPr>
          <w:p>
            <w:pPr>
              <w:spacing w:after="0"/>
              <w:rPr>
                <w:sz w:val="13"/>
                <w:szCs w:val="13"/>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16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0"/>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250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Taxable investment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2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securities</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(9,789)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8,081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(955)</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(2,663)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(8,089)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26,314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(3,139)</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15,086</w:t>
            </w:r>
          </w:p>
        </w:tc>
      </w:tr>
      <w:tr>
        <w:trPr>
          <w:trHeight w:val="144"/>
        </w:trPr>
        <w:tc>
          <w:tcPr>
            <w:tcW w:w="250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Tax-advantaged investment</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5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securities</w:t>
            </w:r>
          </w:p>
        </w:tc>
        <w:tc>
          <w:tcPr>
            <w:tcW w:w="1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w:t>
            </w:r>
          </w:p>
        </w:tc>
      </w:tr>
      <w:tr>
        <w:trPr>
          <w:trHeight w:val="156"/>
        </w:trPr>
        <w:tc>
          <w:tcPr>
            <w:tcW w:w="2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Held-to-maturity securities:</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44"/>
        </w:trPr>
        <w:tc>
          <w:tcPr>
            <w:tcW w:w="250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Taxable investment</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5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securities</w:t>
            </w:r>
          </w:p>
        </w:tc>
        <w:tc>
          <w:tcPr>
            <w:tcW w:w="1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(1,620)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(1,416)</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3,587</w:t>
            </w:r>
          </w:p>
        </w:tc>
        <w:tc>
          <w:tcPr>
            <w:tcW w:w="80" w:type="dxa"/>
            <w:vAlign w:val="bottom"/>
          </w:tcPr>
          <w:p>
            <w:pPr>
              <w:spacing w:after="0"/>
              <w:rPr>
                <w:sz w:val="14"/>
                <w:szCs w:val="14"/>
                <w:color w:val="auto"/>
              </w:rPr>
            </w:pPr>
          </w:p>
        </w:tc>
      </w:tr>
      <w:tr>
        <w:trPr>
          <w:trHeight w:val="144"/>
        </w:trPr>
        <w:tc>
          <w:tcPr>
            <w:tcW w:w="250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Tax-advantaged investment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2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securities</w:t>
            </w:r>
          </w:p>
        </w:tc>
        <w:tc>
          <w:tcPr>
            <w:tcW w:w="12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(217)</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(183)</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80" w:type="dxa"/>
            <w:vAlign w:val="bottom"/>
            <w:shd w:val="clear" w:color="auto" w:fill="CFF0FC"/>
          </w:tcPr>
          <w:p>
            <w:pPr>
              <w:spacing w:after="0"/>
              <w:rPr>
                <w:sz w:val="14"/>
                <w:szCs w:val="14"/>
                <w:color w:val="auto"/>
              </w:rPr>
            </w:pPr>
          </w:p>
        </w:tc>
      </w:tr>
      <w:tr>
        <w:trPr>
          <w:trHeight w:val="156"/>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 in FHLB stock</w:t>
            </w:r>
          </w:p>
        </w:tc>
        <w:tc>
          <w:tcPr>
            <w:tcW w:w="120" w:type="dxa"/>
            <w:vAlign w:val="bottom"/>
          </w:tcPr>
          <w:p>
            <w:pPr>
              <w:spacing w:after="0"/>
              <w:rPr>
                <w:sz w:val="13"/>
                <w:szCs w:val="13"/>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(524)</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(84)</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(311)</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80" w:type="dxa"/>
            <w:vAlign w:val="bottom"/>
          </w:tcPr>
          <w:p>
            <w:pPr>
              <w:spacing w:after="0"/>
              <w:rPr>
                <w:sz w:val="13"/>
                <w:szCs w:val="13"/>
                <w:color w:val="auto"/>
              </w:rPr>
            </w:pPr>
          </w:p>
        </w:tc>
      </w:tr>
      <w:tr>
        <w:trPr>
          <w:trHeight w:val="144"/>
        </w:trPr>
        <w:tc>
          <w:tcPr>
            <w:tcW w:w="2500" w:type="dxa"/>
            <w:vAlign w:val="bottom"/>
            <w:shd w:val="clear" w:color="auto" w:fill="CFF0FC"/>
          </w:tcPr>
          <w:p>
            <w:pPr>
              <w:ind w:left="180"/>
              <w:spacing w:after="0" w:line="144" w:lineRule="exact"/>
              <w:rPr>
                <w:sz w:val="20"/>
                <w:szCs w:val="20"/>
                <w:color w:val="auto"/>
              </w:rPr>
            </w:pPr>
            <w:r>
              <w:rPr>
                <w:rFonts w:ascii="Times New Roman" w:cs="Times New Roman" w:eastAsia="Times New Roman" w:hAnsi="Times New Roman"/>
                <w:sz w:val="13"/>
                <w:szCs w:val="13"/>
                <w:color w:val="auto"/>
              </w:rPr>
              <w:t>Interest-earning deposits with</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2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other institutions</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20,996</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(50)</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20,904</w:t>
            </w: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(3,951)</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36,691</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(21,592)</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11,148</w:t>
            </w:r>
          </w:p>
        </w:tc>
      </w:tr>
      <w:tr>
        <w:trPr>
          <w:trHeight w:val="180"/>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Loans</w:t>
            </w:r>
          </w:p>
        </w:tc>
        <w:tc>
          <w:tcPr>
            <w:tcW w:w="12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(11,237)</w:t>
            </w:r>
          </w:p>
        </w:tc>
        <w:tc>
          <w:tcPr>
            <w:tcW w:w="1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19,178</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1"/>
                <w:szCs w:val="11"/>
                <w:color w:val="auto"/>
              </w:rPr>
              <w:t>(480</w:t>
            </w:r>
            <w:r>
              <w:rPr>
                <w:rFonts w:ascii="Times New Roman" w:cs="Times New Roman" w:eastAsia="Times New Roman" w:hAnsi="Times New Roman"/>
                <w:sz w:val="20"/>
                <w:szCs w:val="20"/>
                <w:color w:val="auto"/>
                <w:vertAlign w:val="subscript"/>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48,189</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59,103</w:t>
            </w:r>
          </w:p>
        </w:tc>
      </w:tr>
      <w:tr>
        <w:trPr>
          <w:trHeight w:val="156"/>
        </w:trPr>
        <w:tc>
          <w:tcPr>
            <w:tcW w:w="2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interest income</w:t>
            </w:r>
          </w:p>
        </w:tc>
        <w:tc>
          <w:tcPr>
            <w:tcW w:w="12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(2,410)</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27,769</w:t>
            </w:r>
          </w:p>
        </w:tc>
        <w:tc>
          <w:tcPr>
            <w:tcW w:w="1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(1,577)</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23,782</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114,254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(23,342)</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91,662</w:t>
            </w: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Savings deposits</w:t>
            </w:r>
          </w:p>
        </w:tc>
        <w:tc>
          <w:tcPr>
            <w:tcW w:w="12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(2,226)</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40,589</w:t>
            </w:r>
          </w:p>
        </w:tc>
        <w:tc>
          <w:tcPr>
            <w:tcW w:w="1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(1,843)</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36,520</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(712)</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48,368</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(5,228)</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42,428</w:t>
            </w:r>
          </w:p>
        </w:tc>
      </w:tr>
      <w:tr>
        <w:trPr>
          <w:trHeight w:val="156"/>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Time deposits</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17,428</w:t>
            </w: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(415)</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80" w:type="dxa"/>
            <w:vAlign w:val="bottom"/>
          </w:tcPr>
          <w:p>
            <w:pPr>
              <w:spacing w:after="0"/>
              <w:rPr>
                <w:sz w:val="13"/>
                <w:szCs w:val="13"/>
                <w:color w:val="auto"/>
              </w:rPr>
            </w:pPr>
          </w:p>
        </w:tc>
      </w:tr>
      <w:tr>
        <w:trPr>
          <w:trHeight w:val="144"/>
        </w:trPr>
        <w:tc>
          <w:tcPr>
            <w:tcW w:w="2500" w:type="dxa"/>
            <w:vAlign w:val="bottom"/>
            <w:shd w:val="clear" w:color="auto" w:fill="CFF0FC"/>
          </w:tcPr>
          <w:p>
            <w:pPr>
              <w:ind w:left="180"/>
              <w:spacing w:after="0" w:line="144" w:lineRule="exact"/>
              <w:rPr>
                <w:sz w:val="20"/>
                <w:szCs w:val="20"/>
                <w:color w:val="auto"/>
              </w:rPr>
            </w:pPr>
            <w:r>
              <w:rPr>
                <w:rFonts w:ascii="Times New Roman" w:cs="Times New Roman" w:eastAsia="Times New Roman" w:hAnsi="Times New Roman"/>
                <w:sz w:val="13"/>
                <w:szCs w:val="13"/>
                <w:color w:val="auto"/>
              </w:rPr>
              <w:t>FHLB advances, other</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6"/>
        </w:trPr>
        <w:tc>
          <w:tcPr>
            <w:tcW w:w="2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borrowings, and customer</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8"/>
        </w:trPr>
        <w:tc>
          <w:tcPr>
            <w:tcW w:w="2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repurchase agreements</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3,652</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9,904</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20,806</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39,284</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64,480</w:t>
            </w:r>
          </w:p>
        </w:tc>
      </w:tr>
      <w:tr>
        <w:trPr>
          <w:trHeight w:val="144"/>
        </w:trPr>
        <w:tc>
          <w:tcPr>
            <w:tcW w:w="250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Interest expense - Other interest-bearing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liabilities</w:t>
            </w:r>
          </w:p>
        </w:tc>
        <w:tc>
          <w:tcPr>
            <w:tcW w:w="12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interest expense</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4,171</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53,540</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6,714</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64,425</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71,902</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33,641</w:t>
            </w: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109,185</w:t>
            </w:r>
          </w:p>
        </w:tc>
        <w:tc>
          <w:tcPr>
            <w:tcW w:w="80" w:type="dxa"/>
            <w:vAlign w:val="bottom"/>
            <w:shd w:val="clear" w:color="auto" w:fill="CFF0FC"/>
          </w:tcPr>
          <w:p>
            <w:pPr>
              <w:spacing w:after="0"/>
              <w:rPr>
                <w:sz w:val="13"/>
                <w:szCs w:val="13"/>
                <w:color w:val="auto"/>
              </w:rPr>
            </w:pPr>
          </w:p>
        </w:tc>
      </w:tr>
      <w:tr>
        <w:trPr>
          <w:trHeight w:val="156"/>
        </w:trPr>
        <w:tc>
          <w:tcPr>
            <w:tcW w:w="2500" w:type="dxa"/>
            <w:vAlign w:val="bottom"/>
          </w:tcPr>
          <w:p>
            <w:pPr>
              <w:ind w:left="500"/>
              <w:spacing w:after="0" w:line="136" w:lineRule="exact"/>
              <w:rPr>
                <w:sz w:val="20"/>
                <w:szCs w:val="20"/>
                <w:color w:val="auto"/>
              </w:rPr>
            </w:pPr>
            <w:r>
              <w:rPr>
                <w:rFonts w:ascii="Times New Roman" w:cs="Times New Roman" w:eastAsia="Times New Roman" w:hAnsi="Times New Roman"/>
                <w:sz w:val="13"/>
                <w:szCs w:val="13"/>
                <w:color w:val="auto"/>
              </w:rPr>
              <w:t>Net interest income</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3"/>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(6,581</w:t>
            </w:r>
            <w:r>
              <w:rPr>
                <w:rFonts w:ascii="Times New Roman" w:cs="Times New Roman" w:eastAsia="Times New Roman" w:hAnsi="Times New Roman"/>
                <w:sz w:val="15"/>
                <w:szCs w:val="15"/>
                <w:color w:val="auto"/>
                <w:vertAlign w:val="subscript"/>
              </w:rPr>
              <w:t>)</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(25,771</w:t>
            </w:r>
            <w:r>
              <w:rPr>
                <w:rFonts w:ascii="Times New Roman" w:cs="Times New Roman" w:eastAsia="Times New Roman" w:hAnsi="Times New Roman"/>
                <w:sz w:val="15"/>
                <w:szCs w:val="15"/>
                <w:color w:val="auto"/>
                <w:vertAlign w:val="subscript"/>
              </w:rPr>
              <w:t>)</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(8,291</w:t>
            </w:r>
            <w:r>
              <w:rPr>
                <w:rFonts w:ascii="Times New Roman" w:cs="Times New Roman" w:eastAsia="Times New Roman" w:hAnsi="Times New Roman"/>
                <w:sz w:val="15"/>
                <w:szCs w:val="15"/>
                <w:color w:val="auto"/>
                <w:vertAlign w:val="subscript"/>
              </w:rPr>
              <w:t>)</w:t>
            </w:r>
          </w:p>
        </w:tc>
        <w:tc>
          <w:tcPr>
            <w:tcW w:w="18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(40,643</w:t>
            </w:r>
            <w:r>
              <w:rPr>
                <w:rFonts w:ascii="Times New Roman" w:cs="Times New Roman" w:eastAsia="Times New Roman" w:hAnsi="Times New Roman"/>
                <w:sz w:val="15"/>
                <w:szCs w:val="15"/>
                <w:color w:val="auto"/>
                <w:vertAlign w:val="subscript"/>
              </w:rPr>
              <w:t>)</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(2,892</w:t>
            </w:r>
            <w:r>
              <w:rPr>
                <w:rFonts w:ascii="Times New Roman" w:cs="Times New Roman" w:eastAsia="Times New Roman" w:hAnsi="Times New Roman"/>
                <w:sz w:val="15"/>
                <w:szCs w:val="15"/>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42,352</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(56,983</w:t>
            </w:r>
            <w:r>
              <w:rPr>
                <w:rFonts w:ascii="Times New Roman" w:cs="Times New Roman" w:eastAsia="Times New Roman" w:hAnsi="Times New Roman"/>
                <w:sz w:val="15"/>
                <w:szCs w:val="15"/>
                <w:color w:val="auto"/>
                <w:vertAlign w:val="subscript"/>
              </w:rPr>
              <w:t>)</w:t>
            </w:r>
          </w:p>
        </w:tc>
        <w:tc>
          <w:tcPr>
            <w:tcW w:w="16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(17,523 </w:t>
            </w:r>
            <w:r>
              <w:rPr>
                <w:rFonts w:ascii="Times New Roman" w:cs="Times New Roman" w:eastAsia="Times New Roman" w:hAnsi="Times New Roman"/>
                <w:sz w:val="15"/>
                <w:szCs w:val="15"/>
                <w:color w:val="auto"/>
                <w:vertAlign w:val="subscript"/>
              </w:rPr>
              <w:t>)</w:t>
            </w:r>
          </w:p>
        </w:tc>
      </w:tr>
      <w:tr>
        <w:trPr>
          <w:trHeight w:val="20"/>
        </w:trPr>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Compared to 2023</w:t>
      </w:r>
    </w:p>
    <w:p>
      <w:pPr>
        <w:spacing w:after="0" w:line="154" w:lineRule="exact"/>
        <w:rPr>
          <w:sz w:val="20"/>
          <w:szCs w:val="20"/>
          <w:color w:val="auto"/>
        </w:rPr>
      </w:pPr>
    </w:p>
    <w:p>
      <w:pPr>
        <w:ind w:right="80" w:firstLine="588"/>
        <w:spacing w:after="0" w:line="286" w:lineRule="auto"/>
        <w:rPr>
          <w:sz w:val="20"/>
          <w:szCs w:val="20"/>
          <w:color w:val="auto"/>
        </w:rPr>
      </w:pPr>
      <w:r>
        <w:rPr>
          <w:rFonts w:ascii="Times New Roman" w:cs="Times New Roman" w:eastAsia="Times New Roman" w:hAnsi="Times New Roman"/>
          <w:sz w:val="14"/>
          <w:szCs w:val="14"/>
          <w:color w:val="auto"/>
        </w:rPr>
        <w:t>Net interest income before provision for credit losses of $447.3 million for 2024 decreased $40.6 million, or 8.33%, compared to $488.0 million for 2023. Interest income increased by $23.8 million, or 3.92% in 2024, offset by a $64.4 million increase in interest expense year- over-year. Cost of funds for 2024 increased by 49 basis points over 2023, while the earning asset yield increased by 25 basis points. Interest-earning assets decreased on average by $275.6 million, or 1.86%,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$14.83 billion for 2023 to $14.55 billion for 2024. Our net interest margin (TE) was 3.09% for 2024, compared to 3.31% for 2023.</w:t>
      </w:r>
    </w:p>
    <w:p>
      <w:pPr>
        <w:spacing w:after="0" w:line="164" w:lineRule="exact"/>
        <w:rPr>
          <w:sz w:val="20"/>
          <w:szCs w:val="20"/>
          <w:color w:val="auto"/>
        </w:rPr>
      </w:pPr>
    </w:p>
    <w:p>
      <w:pPr>
        <w:ind w:right="60" w:firstLine="588"/>
        <w:spacing w:after="0" w:line="259" w:lineRule="auto"/>
        <w:rPr>
          <w:sz w:val="20"/>
          <w:szCs w:val="20"/>
          <w:color w:val="auto"/>
        </w:rPr>
      </w:pPr>
      <w:r>
        <w:rPr>
          <w:rFonts w:ascii="Times New Roman" w:cs="Times New Roman" w:eastAsia="Times New Roman" w:hAnsi="Times New Roman"/>
          <w:sz w:val="16"/>
          <w:szCs w:val="16"/>
          <w:color w:val="auto"/>
        </w:rPr>
        <w:t>Total interest income for 2024 of $630.1 million grew by $23.8 million, or 3.92%, when compared to 2023. Compared to 2023, average interest-earning assets decreased $275.6 million and the yield on interest-earning assets increased</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5" w:name="page46"/>
    <w:bookmarkEnd w:id="45"/>
    <w:p>
      <w:pPr>
        <w:spacing w:after="0" w:line="13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by 25 basis point from 4.10% for 2023 to 4.35% for 2024. The $275.6 million year-over -year decrease in average earning assets resulted from a $434.9 million decrease in average investment securities and a decline of $222.9 million in average loans, offset by $386.4 million of growth in average earning balances due from the Federal Reserve. The 25 basis point increase in the earning asset yield over 2023 resulted primarily from a 22 basis point increase in loan yields, from 5.04% for 2023 to 5.26% for 2024, and from a 13 basis point increase in the yield on investment securities, from 2.52% for 2023 to 2.65% for 2024. The increase in the overall earning asset yield was also impacted by the increase in average earning balances due from the Federal Reserve as a percentage of earning assets, from 2.2% in 2023 to 5.0% in 2024. Balances due from the Federal Reserve earned 5.38% on average in 2024.</w:t>
      </w:r>
    </w:p>
    <w:p>
      <w:pPr>
        <w:spacing w:after="0" w:line="137" w:lineRule="exact"/>
        <w:rPr>
          <w:sz w:val="20"/>
          <w:szCs w:val="20"/>
          <w:color w:val="auto"/>
        </w:rPr>
      </w:pPr>
    </w:p>
    <w:p>
      <w:pPr>
        <w:ind w:right="60" w:firstLine="600"/>
        <w:spacing w:after="0" w:line="243" w:lineRule="auto"/>
        <w:rPr>
          <w:sz w:val="20"/>
          <w:szCs w:val="20"/>
          <w:color w:val="auto"/>
        </w:rPr>
      </w:pPr>
      <w:r>
        <w:rPr>
          <w:rFonts w:ascii="Times New Roman" w:cs="Times New Roman" w:eastAsia="Times New Roman" w:hAnsi="Times New Roman"/>
          <w:sz w:val="16"/>
          <w:szCs w:val="16"/>
          <w:color w:val="auto"/>
        </w:rPr>
        <w:t>Total interest income and fees on loans for 2024 of $455.8 million increased $7.5 million, or 1.66%, when compared to 2023. This increase in income was due to a higher loan yield partially offset by a decrease in average loans of $222.9 million. Loan yields were 5.26% for 2024, compared to 5.04% for 2023. Loan yields grew year-over- year, as rising interest rates contributed to an increase in yields on loans indexed to the Prime rate or other short-term indexes, as well as higher rates from adjustable rate loans and newly originated loans.</w:t>
      </w:r>
    </w:p>
    <w:p>
      <w:pPr>
        <w:spacing w:after="0" w:line="131" w:lineRule="exact"/>
        <w:rPr>
          <w:sz w:val="20"/>
          <w:szCs w:val="20"/>
          <w:color w:val="auto"/>
        </w:rPr>
      </w:pPr>
    </w:p>
    <w:p>
      <w:pPr>
        <w:ind w:right="80" w:firstLine="588"/>
        <w:spacing w:after="0" w:line="247" w:lineRule="auto"/>
        <w:rPr>
          <w:sz w:val="20"/>
          <w:szCs w:val="20"/>
          <w:color w:val="auto"/>
        </w:rPr>
      </w:pPr>
      <w:r>
        <w:rPr>
          <w:rFonts w:ascii="Times New Roman" w:cs="Times New Roman" w:eastAsia="Times New Roman" w:hAnsi="Times New Roman"/>
          <w:sz w:val="16"/>
          <w:szCs w:val="16"/>
          <w:color w:val="auto"/>
        </w:rPr>
        <w:t>In general, we stop accruing interest on a loan after its principal or interest becomes 90 days or more past due. When a loan is placed on nonaccrual, all interest previously accrued but not collected is charged against earnings. There was no interest income that was accrued and not reversed on nonaccrual loans at December 31, 2024 and 2023. As of December 31, 2024 and 2023, we had $27.8 million and $21.3 million of nonaccrual loans, respectively.</w:t>
      </w:r>
    </w:p>
    <w:p>
      <w:pPr>
        <w:spacing w:after="0" w:line="128"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Interest income from investment securities was $134.0 million for 2024, a $ 4.3 million, or 3.09%, decrease from $138.3 million for 2023. This decrease was driven by a decline in the average balance of investment securities of $434.9 million, or 7.80%, partially offset by a 13 basis point increase in the yield on securities, compared to 2023. This 13 basis point increase in the yield on investment securities from the prior year period was impacted by the positive spread generated from the pay-fixed swaps we entered into at the end of the second quarter of 2023. The positive carry on these fair value hedges resulted in approximately $14.4 million of interest income in 2024. The yield on investment securities was also impacted positively by the sale of $467 million of lower-yielding investment securities combined with the purchase of $418.5 million of higher-yielding securities in 2024.</w:t>
      </w:r>
    </w:p>
    <w:p>
      <w:pPr>
        <w:spacing w:after="0" w:line="137" w:lineRule="exact"/>
        <w:rPr>
          <w:sz w:val="20"/>
          <w:szCs w:val="20"/>
          <w:color w:val="auto"/>
        </w:rPr>
      </w:pPr>
    </w:p>
    <w:p>
      <w:pPr>
        <w:ind w:right="120" w:firstLine="588"/>
        <w:spacing w:after="0" w:line="241" w:lineRule="auto"/>
        <w:rPr>
          <w:sz w:val="20"/>
          <w:szCs w:val="20"/>
          <w:color w:val="auto"/>
        </w:rPr>
      </w:pPr>
      <w:r>
        <w:rPr>
          <w:rFonts w:ascii="Times New Roman" w:cs="Times New Roman" w:eastAsia="Times New Roman" w:hAnsi="Times New Roman"/>
          <w:sz w:val="16"/>
          <w:szCs w:val="16"/>
          <w:color w:val="auto"/>
        </w:rPr>
        <w:t>Interest expense of $182.8 million for 2024 increased $64.4 million, compared to $118.3 million for 2023. Total cost of funds for 2024 was 1.32%, compared with 0.83% for 2023. This 49 basis point increase in cost of funds was primarily the result of the increase in the cost of deposits. The average rate paid on deposits increased by 47 basis points, to 0.88% for 2024 from 0.41% for 2023. The increase in interest expense was also driven by a $134.6 million increase in average interest-bearing deposits in 2024 as compared to 2023. Noninterest bearing deposits continued to be a significant portion of total deposits in 2024. Average noninterest-bearing deposits were 59.92% of our total deposits for 2024, compared to 62.66% for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Compared to 2022</w:t>
      </w:r>
    </w:p>
    <w:p>
      <w:pPr>
        <w:spacing w:after="0" w:line="154" w:lineRule="exact"/>
        <w:rPr>
          <w:sz w:val="20"/>
          <w:szCs w:val="20"/>
          <w:color w:val="auto"/>
        </w:rPr>
      </w:pPr>
    </w:p>
    <w:p>
      <w:pPr>
        <w:ind w:right="60" w:firstLine="600"/>
        <w:spacing w:after="0" w:line="243" w:lineRule="auto"/>
        <w:rPr>
          <w:sz w:val="20"/>
          <w:szCs w:val="20"/>
          <w:color w:val="auto"/>
        </w:rPr>
      </w:pPr>
      <w:r>
        <w:rPr>
          <w:rFonts w:ascii="Times New Roman" w:cs="Times New Roman" w:eastAsia="Times New Roman" w:hAnsi="Times New Roman"/>
          <w:sz w:val="16"/>
          <w:szCs w:val="16"/>
          <w:color w:val="auto"/>
        </w:rPr>
        <w:t>Net interest income, before provision for credit losses of $488.0 million for 2023 decreased $17.5 million, or 3.47%, compared to $505.5 million for 2022. Interest income grew by $91.7 million, or 17.81% in 2023, offset by a $109.2 million increase in interest expense year-over-year. Cost of funds for 2023 increased by 77 basis points over 2022, while the earning asset yield grew by 74 basis points. Interest-earning assets decreased on average by $610.4 million, or 3.95%, from $15.44 billion for 2022 to $14.83 billion for 2023. Our net interest margin (TE) was 3.31% for 2023, compared to 3.30% for 2022.</w:t>
      </w:r>
    </w:p>
    <w:p>
      <w:pPr>
        <w:spacing w:after="0" w:line="131" w:lineRule="exact"/>
        <w:rPr>
          <w:sz w:val="20"/>
          <w:szCs w:val="20"/>
          <w:color w:val="auto"/>
        </w:rPr>
      </w:pPr>
    </w:p>
    <w:p>
      <w:pPr>
        <w:ind w:right="40" w:firstLine="600"/>
        <w:spacing w:after="0" w:line="239" w:lineRule="auto"/>
        <w:rPr>
          <w:sz w:val="20"/>
          <w:szCs w:val="20"/>
          <w:color w:val="auto"/>
        </w:rPr>
      </w:pPr>
      <w:r>
        <w:rPr>
          <w:rFonts w:ascii="Times New Roman" w:cs="Times New Roman" w:eastAsia="Times New Roman" w:hAnsi="Times New Roman"/>
          <w:sz w:val="16"/>
          <w:szCs w:val="16"/>
          <w:color w:val="auto"/>
        </w:rPr>
        <w:t>Total interest income for 2023 of $606.3 million grew by $91.7 million, or 17.81%, when compared to 2022. Compared to 2022, average interest-earning assets decreased $610.4 million and the yield on interest-earning assets increased by 74 basis point from 3.36% for 2022 to 4.10% for 2023. The $610.4 million year-over-year decrease in earning assets resulted from a $471.9 million decrease in average earning balances due from the Federal Reserve and a decline of $360.1 million in average investment securities, offset by $216.5 million of growth in average loans. The 74 basis point increase in the earning asset yield over 2022 resulted from a 55 basis point increase in loan yields, increasing from 4.49% for 2022 to 5.04% for 2023, as well as a change in the mix of earning assets. Average loans as a percentage of earning assets grew from 56.20% for 2022 to 59.97% for 2023. Average investments as a percentage of earning assets decreased to 37.63% for 2023 from 38.47% for 2022. The tax-equivalent yield on investment securities was 2.52% for 2023, compared to 2.03% for 2022.</w:t>
      </w:r>
    </w:p>
    <w:p>
      <w:pPr>
        <w:spacing w:after="0" w:line="134"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Total interest income and fees on loans for 2023 of $448.3 million increased $59.1 million, or 15.19%, when compared to 2022. This increase in income was partly due to growth in average loans of $216.5 million, as well as higher loan yields. Loan yields were 5.04% for 2023, compared to 4.49% for 2022. Discount accretion on acquired loans decreased by $4.0 million and interest and fee income from PPP loans declined by $5.4 million compared to 2022. After excluding discount accretion and the impact from PPP loans, our loan yields grew by 63 basis points compared to 2022. Loan yields</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6" w:name="page47"/>
    <w:bookmarkEnd w:id="46"/>
    <w:p>
      <w:pPr>
        <w:spacing w:after="0" w:line="137"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grew year-over-year, as rising interest rates contributed to an increase in yields on loans indexed to the Prime rate or other short-term indexes, as well as higher rates from newly originated loans.</w:t>
      </w:r>
    </w:p>
    <w:p>
      <w:pPr>
        <w:spacing w:after="0" w:line="119" w:lineRule="exact"/>
        <w:rPr>
          <w:sz w:val="20"/>
          <w:szCs w:val="20"/>
          <w:color w:val="auto"/>
        </w:rPr>
      </w:pPr>
    </w:p>
    <w:p>
      <w:pPr>
        <w:ind w:right="80" w:firstLine="588"/>
        <w:spacing w:after="0" w:line="247" w:lineRule="auto"/>
        <w:rPr>
          <w:sz w:val="20"/>
          <w:szCs w:val="20"/>
          <w:color w:val="auto"/>
        </w:rPr>
      </w:pPr>
      <w:r>
        <w:rPr>
          <w:rFonts w:ascii="Times New Roman" w:cs="Times New Roman" w:eastAsia="Times New Roman" w:hAnsi="Times New Roman"/>
          <w:sz w:val="16"/>
          <w:szCs w:val="16"/>
          <w:color w:val="auto"/>
        </w:rPr>
        <w:t>In general, we stop accruing interest on a loan after its principal or interest becomes 90 days or more past due. When a loan is placed on nonaccrual, all interest previously accrued but not collected is charged against earnings. There was no interest income that was accrued and not reversed on nonaccrual loans at December 31, 2023 and 2022. As of December 31, 2023 and 2022, we had $21.3 million and $4.9 million of nonaccrual loans, respectively.</w:t>
      </w:r>
    </w:p>
    <w:p>
      <w:pPr>
        <w:spacing w:after="0" w:line="128" w:lineRule="exact"/>
        <w:rPr>
          <w:sz w:val="20"/>
          <w:szCs w:val="20"/>
          <w:color w:val="auto"/>
        </w:rPr>
      </w:pPr>
    </w:p>
    <w:p>
      <w:pPr>
        <w:ind w:right="80" w:firstLine="588"/>
        <w:spacing w:after="0" w:line="241" w:lineRule="auto"/>
        <w:rPr>
          <w:sz w:val="20"/>
          <w:szCs w:val="20"/>
          <w:color w:val="auto"/>
        </w:rPr>
      </w:pPr>
      <w:r>
        <w:rPr>
          <w:rFonts w:ascii="Times New Roman" w:cs="Times New Roman" w:eastAsia="Times New Roman" w:hAnsi="Times New Roman"/>
          <w:sz w:val="16"/>
          <w:szCs w:val="16"/>
          <w:color w:val="auto"/>
        </w:rPr>
        <w:t>Interest income from investment securities was $138.3 million for 2023, a $20.8 million, or 17.66%, increase from $117.6 million for 2022. This increase was driven by a 49 basis point increase in the yield on securities, compared to 2022. This 49 basis point increase in the yield on investment securities from the prior year period was impacted by the positive spread generated from the pay-fixed swaps we entered into at the end of the second quarter of 2023. The positive carry on these fair value hedges resulted in approximately $8.2 million of interest income associated with these interest rate swaps. Excluding the impact of these swaps, 2023 investment yields increased by 33 basis points from 2022. Average investment securities declined by $360.1 million from 2022.</w:t>
      </w:r>
    </w:p>
    <w:p>
      <w:pPr>
        <w:spacing w:after="0" w:line="133"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Interest expense of $118.3 million for 2023 increased $109.2 million, compared to $9.2 million for 2022. Total cost of funds for 2023 was 0.83%, compared with 0.06% for 2022. This 77 basis point increase in cost of funds was the result of the increase in the cost of interest -bearing deposits and the addition of $1.35 billion of borrowings, on average, for 2023, at an average cost of 4.88%. Average interest-bearing deposits declined by $580.5 million when compared 2022. The average rate paid on interest- bearing liabilities increased by 168 basis points, to 1.84% for 2023 from 0.16% for 2022. Likewise, the rate on interest-bearing deposits for 2023 increased by 98 basis points from 2022. Noninterest bearing deposits continued to be greater than 60% of total deposits in 2023. Average noninterest-bearing deposits were 62.66% of our total deposits for 2023, compared to 62.85% for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(Recapture of) Credit Losses</w:t>
      </w:r>
    </w:p>
    <w:p>
      <w:pPr>
        <w:spacing w:after="0" w:line="156" w:lineRule="exact"/>
        <w:rPr>
          <w:sz w:val="20"/>
          <w:szCs w:val="20"/>
          <w:color w:val="auto"/>
        </w:rPr>
      </w:pPr>
    </w:p>
    <w:p>
      <w:pPr>
        <w:ind w:right="580" w:firstLine="588"/>
        <w:spacing w:after="0" w:line="259" w:lineRule="auto"/>
        <w:rPr>
          <w:sz w:val="20"/>
          <w:szCs w:val="20"/>
          <w:color w:val="auto"/>
        </w:rPr>
      </w:pPr>
      <w:r>
        <w:rPr>
          <w:rFonts w:ascii="Times New Roman" w:cs="Times New Roman" w:eastAsia="Times New Roman" w:hAnsi="Times New Roman"/>
          <w:sz w:val="16"/>
          <w:szCs w:val="16"/>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19" w:lineRule="exact"/>
        <w:rPr>
          <w:sz w:val="20"/>
          <w:szCs w:val="20"/>
          <w:color w:val="auto"/>
        </w:rPr>
      </w:pPr>
    </w:p>
    <w:p>
      <w:pPr>
        <w:ind w:right="40" w:firstLine="588"/>
        <w:spacing w:after="0" w:line="238" w:lineRule="auto"/>
        <w:rPr>
          <w:sz w:val="20"/>
          <w:szCs w:val="20"/>
          <w:color w:val="auto"/>
        </w:rPr>
      </w:pPr>
      <w:r>
        <w:rPr>
          <w:rFonts w:ascii="Times New Roman" w:cs="Times New Roman" w:eastAsia="Times New Roman" w:hAnsi="Times New Roman"/>
          <w:sz w:val="16"/>
          <w:szCs w:val="16"/>
          <w:color w:val="auto"/>
        </w:rPr>
        <w:t xml:space="preserve">We recorded recapture of provision for credit losses of $3.0 million in 2024, and experienced credit charge-offs of $4.4 million and recoveries of $0.7 million, resulting in net charge-offs of $3.7 million. The year-to-date recapture of provision for credit losses of $3.0 million was the result of a decrease in loan balances outstanding at December 31, 2024 as compared to the prior year-end and an overall decrease in projected loss rates from 0.98% at the end of 2023 to 0.94% at December 31, 2024. For 2023, we recorded $2.0 million in provision for credit losses, and experienced credit charge-offs of $405,000 and total recoveries of $130,000, resulting in net charge-offs of $275,000. The modest changes in projected loss rates continue to be driven primarily by economic forecast changes to various macroeconomic variables such as GDP growth, commercial real estate values and the rate of unemployment. Refer to the discussion of “Allowance for Credit Losses” in Item 7 –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contained herein for discussion concerning observed changes in the credit quality of various components of our loan portfolio as well as changes and refinements to our methodology.</w:t>
      </w:r>
    </w:p>
    <w:p>
      <w:pPr>
        <w:spacing w:after="0" w:line="137" w:lineRule="exact"/>
        <w:rPr>
          <w:sz w:val="20"/>
          <w:szCs w:val="20"/>
          <w:color w:val="auto"/>
        </w:rPr>
      </w:pPr>
    </w:p>
    <w:p>
      <w:pPr>
        <w:ind w:right="260" w:firstLine="588"/>
        <w:spacing w:after="0" w:line="284" w:lineRule="auto"/>
        <w:rPr>
          <w:sz w:val="20"/>
          <w:szCs w:val="20"/>
          <w:color w:val="auto"/>
        </w:rPr>
      </w:pPr>
      <w:r>
        <w:rPr>
          <w:rFonts w:ascii="Times New Roman" w:cs="Times New Roman" w:eastAsia="Times New Roman" w:hAnsi="Times New Roman"/>
          <w:sz w:val="14"/>
          <w:szCs w:val="14"/>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from changes in rates by the Federal Reserve, geopolitical events in Europe and the Middle East, and impacts of changes in global trade and inflation will have on future interest rates, unemployment, the overall economy and resulting impact on our customers. See “Allowance for Credit Losses” under </w:t>
      </w:r>
      <w:r>
        <w:rPr>
          <w:rFonts w:ascii="Times New Roman" w:cs="Times New Roman" w:eastAsia="Times New Roman" w:hAnsi="Times New Roman"/>
          <w:sz w:val="14"/>
          <w:szCs w:val="14"/>
          <w:i w:val="1"/>
          <w:iCs w:val="1"/>
          <w:color w:val="auto"/>
        </w:rPr>
        <w:t>Analysis of Financial Condition</w:t>
      </w:r>
      <w:r>
        <w:rPr>
          <w:rFonts w:ascii="Times New Roman" w:cs="Times New Roman" w:eastAsia="Times New Roman" w:hAnsi="Times New Roman"/>
          <w:sz w:val="14"/>
          <w:szCs w:val="14"/>
          <w:color w:val="auto"/>
        </w:rPr>
        <w:t xml:space="preserve"> herein.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Noninterest Income</w:t>
      </w:r>
    </w:p>
    <w:p>
      <w:pPr>
        <w:spacing w:after="0" w:line="156" w:lineRule="exact"/>
        <w:rPr>
          <w:sz w:val="20"/>
          <w:szCs w:val="20"/>
          <w:color w:val="auto"/>
        </w:rPr>
      </w:pPr>
    </w:p>
    <w:p>
      <w:pPr>
        <w:ind w:right="160" w:firstLine="588"/>
        <w:spacing w:after="0" w:line="299" w:lineRule="auto"/>
        <w:rPr>
          <w:sz w:val="20"/>
          <w:szCs w:val="20"/>
          <w:color w:val="auto"/>
        </w:rPr>
      </w:pPr>
      <w:r>
        <w:rPr>
          <w:rFonts w:ascii="Times New Roman" w:cs="Times New Roman" w:eastAsia="Times New Roman" w:hAnsi="Times New Roman"/>
          <w:sz w:val="14"/>
          <w:szCs w:val="14"/>
          <w:color w:val="auto"/>
        </w:rPr>
        <w:t>Noninterest income includes income derived from financial services offered to our customers, such as CitizensTrust, merchant processing and card services, international banking, and other business services. Also included in noninterest income are service charges and fees, primarily from deposit accounts, BOLI income, gains/losses from the disposition of investment securities, loans, other real estate owned, and fixed assets, and other revenues not included as interest on earning assets.</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7" w:name="page48"/>
    <w:bookmarkEnd w:id="47"/>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sets forth the various components of noninterest income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6"/>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6"/>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20,370</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0.75%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(1,163)</w:t>
            </w:r>
          </w:p>
        </w:tc>
        <w:tc>
          <w:tcPr>
            <w:tcW w:w="2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Trust and investment services</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13,729</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12,556</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11,518</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9.34%</w:t>
            </w: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9.01%</w:t>
            </w:r>
          </w:p>
        </w:tc>
        <w:tc>
          <w:tcPr>
            <w:tcW w:w="0" w:type="dxa"/>
            <w:vAlign w:val="bottom"/>
          </w:tcPr>
          <w:p>
            <w:pPr>
              <w:spacing w:after="0"/>
              <w:rPr>
                <w:sz w:val="1"/>
                <w:szCs w:val="1"/>
                <w:color w:val="auto"/>
              </w:rPr>
            </w:pPr>
          </w:p>
        </w:tc>
      </w:tr>
      <w:tr>
        <w:trPr>
          <w:trHeight w:val="168"/>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Bankcard services</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1.54%</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BOLI income</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12,420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12,751</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(331)</w:t>
            </w:r>
          </w:p>
        </w:tc>
        <w:tc>
          <w:tcPr>
            <w:tcW w:w="2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(2.60)%</w:t>
            </w: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7,395</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138.07%</w:t>
            </w:r>
          </w:p>
        </w:tc>
        <w:tc>
          <w:tcPr>
            <w:tcW w:w="0" w:type="dxa"/>
            <w:vAlign w:val="bottom"/>
          </w:tcPr>
          <w:p>
            <w:pPr>
              <w:spacing w:after="0"/>
              <w:rPr>
                <w:sz w:val="1"/>
                <w:szCs w:val="1"/>
                <w:color w:val="auto"/>
              </w:rPr>
            </w:pPr>
          </w:p>
        </w:tc>
      </w:tr>
      <w:tr>
        <w:trPr>
          <w:trHeight w:val="168"/>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Swap fee income</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(421)</w:t>
            </w:r>
          </w:p>
        </w:tc>
        <w:tc>
          <w:tcPr>
            <w:tcW w:w="2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(66.61)%</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Loss on sale of AFS investment securities</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(28,317)</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(28,317)</w:t>
            </w:r>
          </w:p>
        </w:tc>
        <w:tc>
          <w:tcPr>
            <w:tcW w:w="2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leaseback transactions</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Gain on sale of building, net</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(2,717)</w:t>
            </w: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68"/>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other investments</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(2,575)</w:t>
            </w:r>
          </w:p>
        </w:tc>
        <w:tc>
          <w:tcPr>
            <w:tcW w:w="2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(100.00)%</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8,509</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8,970</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7,546</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(461)</w:t>
            </w:r>
          </w:p>
        </w:tc>
        <w:tc>
          <w:tcPr>
            <w:tcW w:w="2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(5.14)%</w:t>
            </w: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18.87%</w:t>
            </w:r>
          </w:p>
        </w:tc>
        <w:tc>
          <w:tcPr>
            <w:tcW w:w="0" w:type="dxa"/>
            <w:vAlign w:val="bottom"/>
          </w:tcPr>
          <w:p>
            <w:pPr>
              <w:spacing w:after="0"/>
              <w:rPr>
                <w:sz w:val="1"/>
                <w:szCs w:val="1"/>
                <w:color w:val="auto"/>
              </w:rPr>
            </w:pPr>
          </w:p>
        </w:tc>
      </w:tr>
      <w:tr>
        <w:trPr>
          <w:trHeight w:val="168"/>
        </w:trPr>
        <w:tc>
          <w:tcPr>
            <w:tcW w:w="276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Total noninterest income</w:t>
            </w:r>
          </w:p>
        </w:tc>
        <w:tc>
          <w:tcPr>
            <w:tcW w:w="20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54,474</w:t>
            </w:r>
          </w:p>
        </w:tc>
        <w:tc>
          <w:tcPr>
            <w:tcW w:w="200" w:type="dxa"/>
            <w:vAlign w:val="bottom"/>
          </w:tcPr>
          <w:p>
            <w:pPr>
              <w:spacing w:after="0"/>
              <w:rPr>
                <w:sz w:val="14"/>
                <w:szCs w:val="14"/>
                <w:color w:val="auto"/>
              </w:rPr>
            </w:pPr>
          </w:p>
        </w:tc>
        <w:tc>
          <w:tcPr>
            <w:tcW w:w="20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59,330</w:t>
            </w:r>
          </w:p>
        </w:tc>
        <w:tc>
          <w:tcPr>
            <w:tcW w:w="44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49,989</w:t>
            </w:r>
          </w:p>
        </w:tc>
        <w:tc>
          <w:tcPr>
            <w:tcW w:w="42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1"/>
                <w:szCs w:val="11"/>
                <w:color w:val="auto"/>
              </w:rPr>
              <w:t>(4,856</w:t>
            </w:r>
            <w:r>
              <w:rPr>
                <w:rFonts w:ascii="Times New Roman" w:cs="Times New Roman" w:eastAsia="Times New Roman" w:hAnsi="Times New Roman"/>
                <w:sz w:val="17"/>
                <w:szCs w:val="17"/>
                <w:color w:val="auto"/>
                <w:vertAlign w:val="subscript"/>
              </w:rPr>
              <w:t>)</w:t>
            </w:r>
          </w:p>
        </w:tc>
        <w:tc>
          <w:tcPr>
            <w:tcW w:w="280" w:type="dxa"/>
            <w:vAlign w:val="bottom"/>
          </w:tcPr>
          <w:p>
            <w:pPr>
              <w:spacing w:after="0"/>
              <w:rPr>
                <w:sz w:val="14"/>
                <w:szCs w:val="14"/>
                <w:color w:val="auto"/>
              </w:rPr>
            </w:pPr>
          </w:p>
        </w:tc>
        <w:tc>
          <w:tcPr>
            <w:tcW w:w="96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1"/>
                <w:szCs w:val="11"/>
                <w:color w:val="auto"/>
              </w:rPr>
              <w:t>(8.18</w:t>
            </w:r>
            <w:r>
              <w:rPr>
                <w:rFonts w:ascii="Times New Roman" w:cs="Times New Roman" w:eastAsia="Times New Roman" w:hAnsi="Times New Roman"/>
                <w:sz w:val="17"/>
                <w:szCs w:val="17"/>
                <w:color w:val="auto"/>
                <w:vertAlign w:val="subscript"/>
              </w:rPr>
              <w:t>)%</w:t>
            </w:r>
          </w:p>
        </w:tc>
        <w:tc>
          <w:tcPr>
            <w:tcW w:w="280" w:type="dxa"/>
            <w:vAlign w:val="bottom"/>
          </w:tcPr>
          <w:p>
            <w:pPr>
              <w:jc w:val="right"/>
              <w:ind w:right="108"/>
              <w:spacing w:after="0" w:line="14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9,341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18.69</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Compared to 2023</w:t>
      </w:r>
    </w:p>
    <w:p>
      <w:pPr>
        <w:spacing w:after="0" w:line="154" w:lineRule="exact"/>
        <w:rPr>
          <w:sz w:val="20"/>
          <w:szCs w:val="20"/>
          <w:color w:val="auto"/>
        </w:rPr>
      </w:pPr>
    </w:p>
    <w:p>
      <w:pPr>
        <w:jc w:val="both"/>
        <w:ind w:right="40" w:firstLine="588"/>
        <w:spacing w:after="0" w:line="243" w:lineRule="auto"/>
        <w:rPr>
          <w:sz w:val="20"/>
          <w:szCs w:val="20"/>
          <w:color w:val="auto"/>
        </w:rPr>
      </w:pPr>
      <w:r>
        <w:rPr>
          <w:rFonts w:ascii="Times New Roman" w:cs="Times New Roman" w:eastAsia="Times New Roman" w:hAnsi="Times New Roman"/>
          <w:sz w:val="16"/>
          <w:szCs w:val="16"/>
          <w:color w:val="auto"/>
        </w:rPr>
        <w:t>The $4.9 million decrease in noninterest income included $28.3 million in losses from the sale of AFS securities partially offset by gains of $25.9 million from the sale and leaseback of four properties in 2024, while 2023 included a $2.6 million gain from an equity fund distribution related to a CRA investment. Service charges on deposit accounts increased by $0.2 million, or 0.75% from the year ended December 31, 2023. Trust management fees increased by $1.2 million, or 9.34% compared to 2023. Income from Bank-Owned Life Insurance (“BOLI”) decreased by $0.3 million, or 2.60% from the prior year.</w:t>
      </w:r>
    </w:p>
    <w:p>
      <w:pPr>
        <w:spacing w:after="0" w:line="131" w:lineRule="exact"/>
        <w:rPr>
          <w:sz w:val="20"/>
          <w:szCs w:val="20"/>
          <w:color w:val="auto"/>
        </w:rPr>
      </w:pPr>
    </w:p>
    <w:p>
      <w:pPr>
        <w:ind w:firstLine="588"/>
        <w:spacing w:after="0" w:line="280" w:lineRule="auto"/>
        <w:rPr>
          <w:sz w:val="20"/>
          <w:szCs w:val="20"/>
          <w:color w:val="auto"/>
        </w:rPr>
      </w:pPr>
      <w:r>
        <w:rPr>
          <w:rFonts w:ascii="Times New Roman" w:cs="Times New Roman" w:eastAsia="Times New Roman" w:hAnsi="Times New Roman"/>
          <w:sz w:val="14"/>
          <w:szCs w:val="14"/>
          <w:color w:val="auto"/>
        </w:rPr>
        <w:t>Trust and Investment Services represents our CitizensTrust group. The CitizensTrust group is made up of wealth management and investment services. They provide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December 31, 2024, CitizensTrust had approximately $4.6 billion in assets under management and administration, including $3.3 billion in assets under management. CitizensTrust generated fees of $13.7 million for 2024, compared to $12.6 million for 2023. The increase in fees in 2024 included both the impact on market values of changes in equity and fixed income markets but also increased flows of funds from customers, including liquidity management of funds formerly on deposit with the Bank.</w:t>
      </w:r>
    </w:p>
    <w:p>
      <w:pPr>
        <w:spacing w:after="0" w:line="109" w:lineRule="exact"/>
        <w:rPr>
          <w:sz w:val="20"/>
          <w:szCs w:val="20"/>
          <w:color w:val="auto"/>
        </w:rPr>
      </w:pPr>
    </w:p>
    <w:p>
      <w:pPr>
        <w:ind w:right="140" w:firstLine="588"/>
        <w:spacing w:after="0" w:line="241" w:lineRule="auto"/>
        <w:rPr>
          <w:sz w:val="20"/>
          <w:szCs w:val="20"/>
          <w:color w:val="auto"/>
        </w:rPr>
      </w:pPr>
      <w:r>
        <w:rPr>
          <w:rFonts w:ascii="Times New Roman" w:cs="Times New Roman" w:eastAsia="Times New Roman" w:hAnsi="Times New Roman"/>
          <w:sz w:val="16"/>
          <w:szCs w:val="16"/>
          <w:color w:val="auto"/>
        </w:rPr>
        <w:t>The Bank’s investment in BOLI includes life insurance policies generally acquired through acquisitions or the purchase of life insurance by the Bank on a select group of employees to fund deferred compensation plans.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Income from our BOLI policies declined by $0.3 million for 2024 as compared to 2023, which consisted of lower cash surrender value income partially offset by higher gains and death benefits that exceeded cash surrender values.</w:t>
      </w:r>
    </w:p>
    <w:p>
      <w:pPr>
        <w:spacing w:after="0" w:line="133" w:lineRule="exact"/>
        <w:rPr>
          <w:sz w:val="20"/>
          <w:szCs w:val="20"/>
          <w:color w:val="auto"/>
        </w:rPr>
      </w:pPr>
    </w:p>
    <w:p>
      <w:pPr>
        <w:ind w:firstLine="588"/>
        <w:spacing w:after="0" w:line="275" w:lineRule="auto"/>
        <w:rPr>
          <w:sz w:val="20"/>
          <w:szCs w:val="20"/>
          <w:color w:val="auto"/>
        </w:rPr>
      </w:pPr>
      <w:r>
        <w:rPr>
          <w:rFonts w:ascii="Times New Roman" w:cs="Times New Roman" w:eastAsia="Times New Roman" w:hAnsi="Times New Roman"/>
          <w:sz w:val="14"/>
          <w:szCs w:val="14"/>
          <w:color w:val="auto"/>
        </w:rPr>
        <w:t>The Bank has entered into interest rate swap agreements with our customers to manage our interest rate risk and enters into identical offsetting swaps with a counterparty. The changes in the fair value of these non -hedged swaps primarily offset each other resulting in swap fee income. Generally speaking, our volume of back-to-back interest rate swaps is impacted by the level and shape of the yield curve and the Bank's management of interest rate risk. Swap fee income was $0.4 million lower than 2023, primarily due to LIBOR indexed swaps that were converted to term SOFR in 2023 generating fee income of approximately $620,000. Refer to Note 18</w:t>
      </w:r>
    </w:p>
    <w:p>
      <w:pPr>
        <w:ind w:left="5200" w:right="2480" w:hanging="5203"/>
        <w:spacing w:after="0" w:line="361"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Derivative Financial Instruments</w:t>
      </w:r>
      <w:r>
        <w:rPr>
          <w:rFonts w:ascii="Times New Roman" w:cs="Times New Roman" w:eastAsia="Times New Roman" w:hAnsi="Times New Roman"/>
          <w:sz w:val="16"/>
          <w:szCs w:val="16"/>
          <w:color w:val="auto"/>
        </w:rPr>
        <w:t xml:space="preserve"> of the notes to the consolidated financial statements of this report for additional information.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 w:name="page49"/>
    <w:bookmarkEnd w:id="48"/>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Compared to 2022</w:t>
      </w:r>
    </w:p>
    <w:p>
      <w:pPr>
        <w:spacing w:after="0" w:line="154" w:lineRule="exact"/>
        <w:rPr>
          <w:sz w:val="20"/>
          <w:szCs w:val="20"/>
          <w:color w:val="auto"/>
        </w:rPr>
      </w:pPr>
    </w:p>
    <w:p>
      <w:pPr>
        <w:ind w:right="200" w:firstLine="588"/>
        <w:spacing w:after="0" w:line="241" w:lineRule="auto"/>
        <w:rPr>
          <w:sz w:val="20"/>
          <w:szCs w:val="20"/>
          <w:color w:val="auto"/>
        </w:rPr>
      </w:pPr>
      <w:r>
        <w:rPr>
          <w:rFonts w:ascii="Times New Roman" w:cs="Times New Roman" w:eastAsia="Times New Roman" w:hAnsi="Times New Roman"/>
          <w:sz w:val="16"/>
          <w:szCs w:val="16"/>
          <w:color w:val="auto"/>
        </w:rPr>
        <w:t>The $9.3 million increase in noninterest income included $ 2.6 million in gain from an equity fund distribution related to a CRA investment, while 2022 included a $2.4 million net gain on the sale of one of our properties. Service charges on deposit accounts decreased by $ 1.2 million, or 5.44% from the year ended December 31, 2022. Trust management fees increased by $ 1.0 million, or 9.01% compared to 2022. Income from BOLI increased by $7.4 million from the prior year, primarily due to approximately $6.5 million net increase in cash surrender value resulting from the surrender and redeployment of various BOLI policies at the end 2023, which offset the tax expense impact of the taxable gains generated from the surrendered policies.</w:t>
      </w:r>
    </w:p>
    <w:p>
      <w:pPr>
        <w:spacing w:after="0" w:line="133" w:lineRule="exact"/>
        <w:rPr>
          <w:sz w:val="20"/>
          <w:szCs w:val="20"/>
          <w:color w:val="auto"/>
        </w:rPr>
      </w:pPr>
    </w:p>
    <w:p>
      <w:pPr>
        <w:ind w:right="460" w:firstLine="588"/>
        <w:spacing w:after="0" w:line="259" w:lineRule="auto"/>
        <w:rPr>
          <w:sz w:val="20"/>
          <w:szCs w:val="20"/>
          <w:color w:val="auto"/>
        </w:rPr>
      </w:pPr>
      <w:r>
        <w:rPr>
          <w:rFonts w:ascii="Times New Roman" w:cs="Times New Roman" w:eastAsia="Times New Roman" w:hAnsi="Times New Roman"/>
          <w:sz w:val="16"/>
          <w:szCs w:val="16"/>
          <w:color w:val="auto"/>
        </w:rPr>
        <w:t>Service fees on deposits include analysis fees, NSF fees, as well as other deposit fees. For 2023, service fees on deposits declined by approximately $1.2 million, when compared to 2022. More than half of this decline was due to lower NSF fee income in 2023.</w:t>
      </w:r>
    </w:p>
    <w:p>
      <w:pPr>
        <w:spacing w:after="0" w:line="119" w:lineRule="exact"/>
        <w:rPr>
          <w:sz w:val="20"/>
          <w:szCs w:val="20"/>
          <w:color w:val="auto"/>
        </w:rPr>
      </w:pPr>
    </w:p>
    <w:p>
      <w:pPr>
        <w:ind w:right="120" w:firstLine="588"/>
        <w:spacing w:after="0" w:line="239" w:lineRule="auto"/>
        <w:rPr>
          <w:sz w:val="20"/>
          <w:szCs w:val="20"/>
          <w:color w:val="auto"/>
        </w:rPr>
      </w:pPr>
      <w:r>
        <w:rPr>
          <w:rFonts w:ascii="Times New Roman" w:cs="Times New Roman" w:eastAsia="Times New Roman" w:hAnsi="Times New Roman"/>
          <w:sz w:val="16"/>
          <w:szCs w:val="16"/>
          <w:color w:val="auto"/>
        </w:rPr>
        <w:t>Trust and Investment Services represents our CitizensTrust group. The CitizensTrust group is made up of wealth management and investment services. They provide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December 31, 2023, CitizensTrust had approximately $4.0 billion in assets under management and administration, including $ 2.81 billion in assets under management. CitizensTrust generated fees of $12.6 million for 2023, compared to $11.5 million for 2022. The increase in fees in 2023 included both the impact on market values of changes in equity and fixed income markets but also increased flows of funds from customers, including liquidity management of funds formerly on deposit with the Bank.</w:t>
      </w:r>
    </w:p>
    <w:p>
      <w:pPr>
        <w:spacing w:after="0" w:line="134"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color w:val="auto"/>
        </w:rPr>
        <w:t>The Bank’s investment in BOLI includes life insurance policies generally acquired through acquisitions or the purchase of life insurance by the Bank on a select group of employees to fund deferred compensation plans.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At the end of the fourth quarter of 2023, the Company partially restructured its BOLI assets by surrendering various policies valued at approximately $68 million, resulting in a write-down of asset values of more than $4 million and additional income tax expense and penalties of more than $6 million. This combined restructuring charge was offset by increases of approximately $10 million to the cash surrender value resulting from the purchase of $109 million of new policies during the quarter, reflecting a net increase to noninterest income of $6.5 million and additional tax expense of approximately $6.5 million. The new policies will have an initial crediting rate that is approximately 300 basis points higher than the policies that we surrendered. Separate account BOLI policies that fund deferred compensation increased in value in 2023, compared to declines in value in 2022, due to the overall performance of the selected investments within these policies. Income from our BOLI policies for 2023 also included $935,000 of death benefits that exceeded cash surrender values, compared to $3.6 million of death benefits for 2022.</w:t>
      </w:r>
    </w:p>
    <w:p>
      <w:pPr>
        <w:spacing w:after="0" w:line="138" w:lineRule="exact"/>
        <w:rPr>
          <w:sz w:val="20"/>
          <w:szCs w:val="20"/>
          <w:color w:val="auto"/>
        </w:rPr>
      </w:pPr>
    </w:p>
    <w:p>
      <w:pPr>
        <w:ind w:right="20" w:firstLine="588"/>
        <w:spacing w:after="0" w:line="280" w:lineRule="auto"/>
        <w:rPr>
          <w:sz w:val="20"/>
          <w:szCs w:val="20"/>
          <w:color w:val="auto"/>
        </w:rPr>
      </w:pPr>
      <w:r>
        <w:rPr>
          <w:rFonts w:ascii="Times New Roman" w:cs="Times New Roman" w:eastAsia="Times New Roman" w:hAnsi="Times New Roman"/>
          <w:sz w:val="14"/>
          <w:szCs w:val="14"/>
          <w:color w:val="auto"/>
        </w:rPr>
        <w:t xml:space="preserve">The Bank has entered into interest rate swap agreements with our customers to manage our interest rate risk and enters into identical offsetting swaps with a counterparty. The changes in the fair value of these non -hedged swaps primarily offset each other resulting in swap fee income. Generally speaking, our volume of back-to-back interest rate swaps is impacted by the level and shape of the yield curve and the Bank's management of interest rate risk. Swap fee income was higher than 2022, primarily due to LIBOR indexed swaps that were converted to term SOFR in 2023 generating fee income of approximately $620,000. We executed on swap agreements related to new loan originations with a notional amount totaling $1.0 million for 2023. There were no executed swap agreements related to new loan originations for 2022. Refer to Note 18 —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of the notes to the consolidated financial statements of this report for additional information.</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9" w:name="page50"/>
    <w:bookmarkEnd w:id="49"/>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Noninterest Expense</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summarizes the various components of noninterest expense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6"/>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1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gridSpan w:val="6"/>
            <w:vMerge w:val="continue"/>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144,472</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139,191</w:t>
            </w:r>
          </w:p>
        </w:tc>
        <w:tc>
          <w:tcPr>
            <w:tcW w:w="24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131,596</w:t>
            </w:r>
          </w:p>
        </w:tc>
        <w:tc>
          <w:tcPr>
            <w:tcW w:w="2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3.79%</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168"/>
        </w:trPr>
        <w:tc>
          <w:tcPr>
            <w:tcW w:w="2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Occupancy</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18,976</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18,492</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18,825</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2.62%</w:t>
            </w:r>
          </w:p>
        </w:tc>
        <w:tc>
          <w:tcPr>
            <w:tcW w:w="2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(333)</w:t>
            </w:r>
          </w:p>
        </w:tc>
        <w:tc>
          <w:tcPr>
            <w:tcW w:w="2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68"/>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Equipment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22.50%</w:t>
            </w:r>
          </w:p>
        </w:tc>
        <w:tc>
          <w:tcPr>
            <w:tcW w:w="2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(295)</w:t>
            </w:r>
          </w:p>
        </w:tc>
        <w:tc>
          <w:tcPr>
            <w:tcW w:w="2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0" w:type="dxa"/>
            <w:vAlign w:val="bottom"/>
          </w:tcPr>
          <w:p>
            <w:pPr>
              <w:spacing w:after="0"/>
              <w:rPr>
                <w:sz w:val="1"/>
                <w:szCs w:val="1"/>
                <w:color w:val="auto"/>
              </w:rPr>
            </w:pPr>
          </w:p>
        </w:tc>
      </w:tr>
      <w:tr>
        <w:trPr>
          <w:trHeight w:val="168"/>
        </w:trPr>
        <w:tc>
          <w:tcPr>
            <w:tcW w:w="2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Professional services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10,482</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9,082</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9,362</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15.42%</w:t>
            </w:r>
          </w:p>
        </w:tc>
        <w:tc>
          <w:tcPr>
            <w:tcW w:w="2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(280)</w:t>
            </w:r>
          </w:p>
        </w:tc>
        <w:tc>
          <w:tcPr>
            <w:tcW w:w="2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68"/>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Computer software expense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8.90%</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68"/>
        </w:trPr>
        <w:tc>
          <w:tcPr>
            <w:tcW w:w="2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Marketing and promotion</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7,307</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8.16%</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168"/>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(1,128)</w:t>
            </w:r>
          </w:p>
        </w:tc>
        <w:tc>
          <w:tcPr>
            <w:tcW w:w="2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(17.48)%</w:t>
            </w:r>
          </w:p>
        </w:tc>
        <w:tc>
          <w:tcPr>
            <w:tcW w:w="2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(1,114)</w:t>
            </w:r>
          </w:p>
        </w:tc>
        <w:tc>
          <w:tcPr>
            <w:tcW w:w="2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168"/>
        </w:trPr>
        <w:tc>
          <w:tcPr>
            <w:tcW w:w="2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Telecommunications expense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(1.89)%</w:t>
            </w:r>
          </w:p>
        </w:tc>
        <w:tc>
          <w:tcPr>
            <w:tcW w:w="2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(183)</w:t>
            </w:r>
          </w:p>
        </w:tc>
        <w:tc>
          <w:tcPr>
            <w:tcW w:w="2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168"/>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Regulatory assessments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(7,619)</w:t>
            </w:r>
          </w:p>
        </w:tc>
        <w:tc>
          <w:tcPr>
            <w:tcW w:w="2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(43.02)%</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223.35%</w:t>
            </w:r>
          </w:p>
        </w:tc>
        <w:tc>
          <w:tcPr>
            <w:tcW w:w="0" w:type="dxa"/>
            <w:vAlign w:val="bottom"/>
          </w:tcPr>
          <w:p>
            <w:pPr>
              <w:spacing w:after="0"/>
              <w:rPr>
                <w:sz w:val="1"/>
                <w:szCs w:val="1"/>
                <w:color w:val="auto"/>
              </w:rPr>
            </w:pPr>
          </w:p>
        </w:tc>
      </w:tr>
      <w:tr>
        <w:trPr>
          <w:trHeight w:val="168"/>
        </w:trPr>
        <w:tc>
          <w:tcPr>
            <w:tcW w:w="2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Insurance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(0.15)%</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56"/>
        </w:trPr>
        <w:tc>
          <w:tcPr>
            <w:tcW w:w="232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(Recapture of) provision for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unfunded loan commitments</w:t>
            </w:r>
          </w:p>
        </w:tc>
        <w:tc>
          <w:tcPr>
            <w:tcW w:w="2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(1,250)</w:t>
            </w:r>
          </w:p>
        </w:tc>
        <w:tc>
          <w:tcPr>
            <w:tcW w:w="2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2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(500)</w:t>
            </w:r>
          </w:p>
        </w:tc>
        <w:tc>
          <w:tcPr>
            <w:tcW w:w="2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Directors’ expenses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5.32%</w:t>
            </w:r>
          </w:p>
        </w:tc>
        <w:tc>
          <w:tcPr>
            <w:tcW w:w="2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(224)</w:t>
            </w:r>
          </w:p>
        </w:tc>
        <w:tc>
          <w:tcPr>
            <w:tcW w:w="2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0" w:type="dxa"/>
            <w:vAlign w:val="bottom"/>
          </w:tcPr>
          <w:p>
            <w:pPr>
              <w:spacing w:after="0"/>
              <w:rPr>
                <w:sz w:val="1"/>
                <w:szCs w:val="1"/>
                <w:color w:val="auto"/>
              </w:rPr>
            </w:pPr>
          </w:p>
        </w:tc>
      </w:tr>
      <w:tr>
        <w:trPr>
          <w:trHeight w:val="168"/>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related expenses</w:t>
            </w:r>
          </w:p>
        </w:tc>
        <w:tc>
          <w:tcPr>
            <w:tcW w:w="2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(6,013)</w:t>
            </w:r>
          </w:p>
        </w:tc>
        <w:tc>
          <w:tcPr>
            <w:tcW w:w="2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68"/>
        </w:trPr>
        <w:tc>
          <w:tcPr>
            <w:tcW w:w="2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13,189</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9,798</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8,418</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34.61%</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16.39%</w:t>
            </w:r>
          </w:p>
        </w:tc>
        <w:tc>
          <w:tcPr>
            <w:tcW w:w="0" w:type="dxa"/>
            <w:vAlign w:val="bottom"/>
          </w:tcPr>
          <w:p>
            <w:pPr>
              <w:spacing w:after="0"/>
              <w:rPr>
                <w:sz w:val="1"/>
                <w:szCs w:val="1"/>
                <w:color w:val="auto"/>
              </w:rPr>
            </w:pPr>
          </w:p>
        </w:tc>
      </w:tr>
      <w:tr>
        <w:trPr>
          <w:trHeight w:val="168"/>
        </w:trPr>
        <w:tc>
          <w:tcPr>
            <w:tcW w:w="232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Total noninterest expense</w:t>
            </w:r>
          </w:p>
        </w:tc>
        <w:tc>
          <w:tcPr>
            <w:tcW w:w="20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233,583</w:t>
            </w:r>
          </w:p>
        </w:tc>
        <w:tc>
          <w:tcPr>
            <w:tcW w:w="240" w:type="dxa"/>
            <w:vAlign w:val="bottom"/>
          </w:tcPr>
          <w:p>
            <w:pPr>
              <w:spacing w:after="0"/>
              <w:rPr>
                <w:sz w:val="14"/>
                <w:szCs w:val="14"/>
                <w:color w:val="auto"/>
              </w:rPr>
            </w:pPr>
          </w:p>
        </w:tc>
        <w:tc>
          <w:tcPr>
            <w:tcW w:w="20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229,886</w:t>
            </w:r>
          </w:p>
        </w:tc>
        <w:tc>
          <w:tcPr>
            <w:tcW w:w="240" w:type="dxa"/>
            <w:vAlign w:val="bottom"/>
          </w:tcPr>
          <w:p>
            <w:pPr>
              <w:spacing w:after="0"/>
              <w:rPr>
                <w:sz w:val="14"/>
                <w:szCs w:val="14"/>
                <w:color w:val="auto"/>
              </w:rPr>
            </w:pPr>
          </w:p>
        </w:tc>
        <w:tc>
          <w:tcPr>
            <w:tcW w:w="2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216,555</w:t>
            </w:r>
          </w:p>
        </w:tc>
        <w:tc>
          <w:tcPr>
            <w:tcW w:w="240" w:type="dxa"/>
            <w:vAlign w:val="bottom"/>
          </w:tcPr>
          <w:p>
            <w:pPr>
              <w:spacing w:after="0"/>
              <w:rPr>
                <w:sz w:val="14"/>
                <w:szCs w:val="14"/>
                <w:color w:val="auto"/>
              </w:rPr>
            </w:pPr>
          </w:p>
        </w:tc>
        <w:tc>
          <w:tcPr>
            <w:tcW w:w="260" w:type="dxa"/>
            <w:vAlign w:val="bottom"/>
          </w:tcPr>
          <w:p>
            <w:pPr>
              <w:jc w:val="right"/>
              <w:ind w:right="10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3,697</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1"/>
                <w:szCs w:val="11"/>
                <w:color w:val="auto"/>
              </w:rPr>
              <w:t>1.61</w:t>
            </w:r>
            <w:r>
              <w:rPr>
                <w:rFonts w:ascii="Times New Roman" w:cs="Times New Roman" w:eastAsia="Times New Roman" w:hAnsi="Times New Roman"/>
                <w:sz w:val="17"/>
                <w:szCs w:val="17"/>
                <w:color w:val="auto"/>
                <w:vertAlign w:val="subscript"/>
              </w:rPr>
              <w:t>%</w:t>
            </w:r>
          </w:p>
        </w:tc>
        <w:tc>
          <w:tcPr>
            <w:tcW w:w="280" w:type="dxa"/>
            <w:vAlign w:val="bottom"/>
          </w:tcPr>
          <w:p>
            <w:pPr>
              <w:jc w:val="right"/>
              <w:ind w:right="1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13,331</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6.16</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shd w:val="clear" w:color="auto" w:fill="CFF0FC"/>
          </w:tcPr>
          <w:p>
            <w:pPr>
              <w:ind w:left="180"/>
              <w:spacing w:after="0" w:line="156" w:lineRule="exact"/>
              <w:rPr>
                <w:sz w:val="20"/>
                <w:szCs w:val="20"/>
                <w:color w:val="auto"/>
              </w:rPr>
            </w:pPr>
            <w:r>
              <w:rPr>
                <w:rFonts w:ascii="Times New Roman" w:cs="Times New Roman" w:eastAsia="Times New Roman" w:hAnsi="Times New Roman"/>
                <w:sz w:val="14"/>
                <w:szCs w:val="14"/>
                <w:color w:val="auto"/>
              </w:rPr>
              <w:t>Noninterest expense to average</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1.45%</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1.41%</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Efficiency ratio (1)</w:t>
            </w:r>
          </w:p>
        </w:tc>
        <w:tc>
          <w:tcPr>
            <w:tcW w:w="2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46.55%</w:t>
            </w:r>
          </w:p>
        </w:tc>
        <w:tc>
          <w:tcPr>
            <w:tcW w:w="2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42.00%</w:t>
            </w:r>
          </w:p>
        </w:tc>
        <w:tc>
          <w:tcPr>
            <w:tcW w:w="220" w:type="dxa"/>
            <w:vAlign w:val="bottom"/>
          </w:tcPr>
          <w:p>
            <w:pPr>
              <w:spacing w:after="0"/>
              <w:rPr>
                <w:sz w:val="16"/>
                <w:szCs w:val="16"/>
                <w:color w:val="auto"/>
              </w:rPr>
            </w:pP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38.98%</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(1)Noninterest expense divided by net interest income before provision for credit losses plus noninterest income.</w:t>
      </w:r>
    </w:p>
    <w:p>
      <w:pPr>
        <w:spacing w:after="0" w:line="162"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Our ability to control noninterest expenses in relation to asset growth can be measured in terms of total noninterest expenses as a percentage of average assets. Noninterest expense as a percentage of average assets was 1.45% for 2024, compared to 1.41% for 2023 and 1.28% for 2022, respectively. The increase in this ratio in 2024 as compared to 2023 was due primarily to normal inflationary increases in most expense categories, partially offset by a decrease in regulatory assessment expense as 2023 included the $9.2 million FDIC Special Assessment, and also due to a $207 million decrease in average assets in 2024 as compared to 2023. The increase in this ratio for 2023 compared with 2022 reflects the impact of inflationary pressures on staff related expenses and expense growth associated with Suncrest. This ratio was also negatively impacted in 2023 by a $9.2 million expense accrual for the FDIC Special Assessment. The ratio was negatively impacted in 2022 as a result of $6 million of acquisition expense associated with Suncrest.</w:t>
      </w:r>
    </w:p>
    <w:p>
      <w:pPr>
        <w:spacing w:after="0" w:line="134" w:lineRule="exact"/>
        <w:rPr>
          <w:sz w:val="20"/>
          <w:szCs w:val="20"/>
          <w:color w:val="auto"/>
        </w:rPr>
      </w:pPr>
    </w:p>
    <w:p>
      <w:pPr>
        <w:ind w:right="120" w:firstLine="600"/>
        <w:spacing w:after="0" w:line="239" w:lineRule="auto"/>
        <w:rPr>
          <w:sz w:val="20"/>
          <w:szCs w:val="20"/>
          <w:color w:val="auto"/>
        </w:rPr>
      </w:pPr>
      <w:r>
        <w:rPr>
          <w:rFonts w:ascii="Times New Roman" w:cs="Times New Roman" w:eastAsia="Times New Roman" w:hAnsi="Times New Roman"/>
          <w:sz w:val="16"/>
          <w:szCs w:val="16"/>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46.55% for 2024, compared to 42.00% for 2023 and 38.98% for 2022. The increase in the efficiency ratio in 2024 was primarily due to the decrease in our net interest margin in 2024, as well as the 1.6% increase in noninterest expense. The increase in the efficiency ratio in 2023 compared to 2022 reflects the impact of inflationary pressures on staff related expenses and expense growth associated with Suncrest. This ratio was also negatively impacted in 2023 by a $9.2 million expense accrual for the FDIC Special Assessment. The ratio was negatively impacted in 2022 as a result of $6 million of acquisition expense associated with Suncrest.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0" w:name="page51"/>
    <w:bookmarkEnd w:id="50"/>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Compared to 2023</w:t>
      </w:r>
    </w:p>
    <w:p>
      <w:pPr>
        <w:spacing w:after="0" w:line="154" w:lineRule="exact"/>
        <w:rPr>
          <w:sz w:val="20"/>
          <w:szCs w:val="20"/>
          <w:color w:val="auto"/>
        </w:rPr>
      </w:pPr>
    </w:p>
    <w:p>
      <w:pPr>
        <w:ind w:right="60" w:firstLine="600"/>
        <w:spacing w:after="0" w:line="239" w:lineRule="auto"/>
        <w:rPr>
          <w:sz w:val="20"/>
          <w:szCs w:val="20"/>
          <w:color w:val="auto"/>
        </w:rPr>
      </w:pPr>
      <w:r>
        <w:rPr>
          <w:rFonts w:ascii="Times New Roman" w:cs="Times New Roman" w:eastAsia="Times New Roman" w:hAnsi="Times New Roman"/>
          <w:sz w:val="16"/>
          <w:szCs w:val="16"/>
          <w:color w:val="auto"/>
        </w:rPr>
        <w:t>Noninterest expense of $233.6 million for the year ended December 31, 2024 was $3.7 million, or 1.6% higher than 2023. Year-over- year increases included normal inflationary increases in most expense categories including $5.3 million in salaries and employee benefits, primarily due to inflationary pressures on salaries and benefits. As we continue to invest in new technology, software expense increased by $1.3 million, or 8.90%. The increase in technology costs demonstrates our commitment to improving efficiencies and providing an excellent customer experience. Professional expense increased by $1.4 million, or 15.42%, as legal expense increased by $1.3 million or 80.7%. These increases were partially offset by a $7.6 million decrease in regulatory assessment expense, as 2023 included $9.2 million for the FDIC Special Assessment.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Compared to 2022</w:t>
      </w:r>
    </w:p>
    <w:p>
      <w:pPr>
        <w:spacing w:after="0" w:line="154" w:lineRule="exact"/>
        <w:rPr>
          <w:sz w:val="20"/>
          <w:szCs w:val="20"/>
          <w:color w:val="auto"/>
        </w:rPr>
      </w:pPr>
    </w:p>
    <w:p>
      <w:pPr>
        <w:ind w:firstLine="600"/>
        <w:spacing w:after="0" w:line="239" w:lineRule="auto"/>
        <w:rPr>
          <w:sz w:val="20"/>
          <w:szCs w:val="20"/>
          <w:color w:val="auto"/>
        </w:rPr>
      </w:pPr>
      <w:r>
        <w:rPr>
          <w:rFonts w:ascii="Times New Roman" w:cs="Times New Roman" w:eastAsia="Times New Roman" w:hAnsi="Times New Roman"/>
          <w:sz w:val="16"/>
          <w:szCs w:val="16"/>
          <w:color w:val="auto"/>
        </w:rPr>
        <w:t>Noninterest expense of $ 229.9 million for the year ended December 31, 2023 was $13.3 million higher than 2022. Year -over-year increases included $12.2 million in regulatory assessments, including the $9.2 million FDIC special assessment, and $7.6 million in salaries and employee benefits, primarily due to inflationary pressures on salaries and benefits and a $2.9 million decline in the contra expense for deferred origination costs due to fewer loan originations. Marketing and promotion expense increased over 2022 by approximately $460,000, as these expenses returned to pre-pandemic levels. As we continue to invest in new technology, software expense increased by $548,000, or 4.06%. The increase in technology costs demonstrates our commitment to improving efficiencies and providing an excellent customer experience. These increases were partially offset by a $6.0 million decrease in acquisition expense. The year-over-year decrease also included a $500,000 recapture of provision for unfunded loan commitments recorded in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56" w:lineRule="exact"/>
        <w:rPr>
          <w:sz w:val="20"/>
          <w:szCs w:val="20"/>
          <w:color w:val="auto"/>
        </w:rPr>
      </w:pPr>
    </w:p>
    <w:p>
      <w:pPr>
        <w:ind w:right="80" w:firstLine="588"/>
        <w:spacing w:after="0" w:line="239" w:lineRule="auto"/>
        <w:rPr>
          <w:sz w:val="20"/>
          <w:szCs w:val="20"/>
          <w:color w:val="auto"/>
        </w:rPr>
      </w:pPr>
      <w:r>
        <w:rPr>
          <w:rFonts w:ascii="Times New Roman" w:cs="Times New Roman" w:eastAsia="Times New Roman" w:hAnsi="Times New Roman"/>
          <w:sz w:val="16"/>
          <w:szCs w:val="16"/>
          <w:color w:val="auto"/>
        </w:rPr>
        <w:t xml:space="preserve">The Company’s effective tax rate for the year ended December 31, 2024 was 26.00%, compared with 29.80% and 28.30% for the years ended December 31, 2023 and 2022, respectively. The decrease in the effective tax rate was a result of increased investments in tax credits during 2024 and the impact on taxes in 2023 from the surrender of certain BOLI policies. During the fourth quarter and full year of 2023, our effective tax rate was impacted by more than $6 million in combined income tax expense and penalties resulting from the surrender of various BOLI policies. Our estimated annual effective tax rate also varies depending upon the level of tax-advantaged income from municipal securities and BOLI as well as available tax credits. Refer to Note 9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 for more information.</w:t>
      </w:r>
    </w:p>
    <w:p>
      <w:pPr>
        <w:spacing w:after="0" w:line="137" w:lineRule="exact"/>
        <w:rPr>
          <w:sz w:val="20"/>
          <w:szCs w:val="20"/>
          <w:color w:val="auto"/>
        </w:rPr>
      </w:pPr>
    </w:p>
    <w:p>
      <w:pPr>
        <w:ind w:right="560" w:firstLine="588"/>
        <w:spacing w:after="0" w:line="259" w:lineRule="auto"/>
        <w:rPr>
          <w:sz w:val="20"/>
          <w:szCs w:val="20"/>
          <w:color w:val="auto"/>
        </w:rPr>
      </w:pPr>
      <w:r>
        <w:rPr>
          <w:rFonts w:ascii="Times New Roman" w:cs="Times New Roman" w:eastAsia="Times New Roman" w:hAnsi="Times New Roman"/>
          <w:sz w:val="16"/>
          <w:szCs w:val="16"/>
          <w:color w:val="auto"/>
        </w:rPr>
        <w:t>The effective tax rates are below the nominal combined Federal and State tax rate as a result of tax-advantaged income from certain municipal security investments, municipal loans and leases and BOLI, as well as available tax credits for each period.</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1" w:name="page52"/>
    <w:bookmarkEnd w:id="51"/>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ANALYSIS OF FINANCIAL CONDITION</w:t>
      </w:r>
    </w:p>
    <w:p>
      <w:pPr>
        <w:spacing w:after="0" w:line="154" w:lineRule="exact"/>
        <w:rPr>
          <w:sz w:val="20"/>
          <w:szCs w:val="20"/>
          <w:color w:val="auto"/>
        </w:rPr>
      </w:pPr>
    </w:p>
    <w:p>
      <w:pPr>
        <w:ind w:right="120" w:firstLine="588"/>
        <w:spacing w:after="0" w:line="243" w:lineRule="auto"/>
        <w:rPr>
          <w:sz w:val="20"/>
          <w:szCs w:val="20"/>
          <w:color w:val="auto"/>
        </w:rPr>
      </w:pPr>
      <w:r>
        <w:rPr>
          <w:rFonts w:ascii="Times New Roman" w:cs="Times New Roman" w:eastAsia="Times New Roman" w:hAnsi="Times New Roman"/>
          <w:sz w:val="16"/>
          <w:szCs w:val="16"/>
          <w:color w:val="auto"/>
        </w:rPr>
        <w:t>Total assets of $15.15 billion at December 31, 2024 decreased by $867.3 million, or 5.41%, from total assets of $16.02 billion at December 31, 2023. Interest-earning assets of $ 13.53 billion at December 31, 2024, decreased by $934.2 million, or 6.46%, when compared with $14.46 billion at December 31, 2023. The decrease in interest -earning assets was primarily due to a $499.0 million decrease in investment securities, a $368.5 million decrease in total loans, and a decrease of $59.1 million in interest-earning balances due from the Federal Reserve.</w:t>
      </w:r>
    </w:p>
    <w:p>
      <w:pPr>
        <w:spacing w:after="0" w:line="131" w:lineRule="exact"/>
        <w:rPr>
          <w:sz w:val="20"/>
          <w:szCs w:val="20"/>
          <w:color w:val="auto"/>
        </w:rPr>
      </w:pPr>
    </w:p>
    <w:p>
      <w:pPr>
        <w:ind w:right="340" w:firstLine="588"/>
        <w:spacing w:after="0" w:line="284" w:lineRule="auto"/>
        <w:rPr>
          <w:sz w:val="20"/>
          <w:szCs w:val="20"/>
          <w:color w:val="auto"/>
        </w:rPr>
      </w:pPr>
      <w:r>
        <w:rPr>
          <w:rFonts w:ascii="Times New Roman" w:cs="Times New Roman" w:eastAsia="Times New Roman" w:hAnsi="Times New Roman"/>
          <w:sz w:val="14"/>
          <w:szCs w:val="14"/>
          <w:color w:val="auto"/>
        </w:rPr>
        <w:t>Total liabilities were $12.97 billion at December 31, 2024, a decrease of $975.7 million, or 7.00%, from total liabilities of $13.94 billion at December 31, 2023. The decrease was due to a $1.57 billion decrease in borrowings partially offset by a $514.7 million increase in deposits. Total deposits increased by $514.7 million, or 4.50%, from December 31, 2023. The increase in deposits includes $300 million of brokered deposits issued in association with cash flow hedging transactions entered into in 2024. Borrowings decreased by $1.57 billion from December 31, 2023, primarily due to the payoff of $1.91 billion of BTFP advances in 2024. As of December 31, 2024, total borrowings consisted of $500 million of Federal Home Loan Bank advances, at an average cost of approximately 4.6%.</w:t>
      </w:r>
    </w:p>
    <w:p>
      <w:pPr>
        <w:spacing w:after="0" w:line="104" w:lineRule="exact"/>
        <w:rPr>
          <w:sz w:val="20"/>
          <w:szCs w:val="20"/>
          <w:color w:val="auto"/>
        </w:rPr>
      </w:pPr>
    </w:p>
    <w:p>
      <w:pPr>
        <w:ind w:right="100" w:firstLine="588"/>
        <w:spacing w:after="0" w:line="241" w:lineRule="auto"/>
        <w:rPr>
          <w:sz w:val="20"/>
          <w:szCs w:val="20"/>
          <w:color w:val="auto"/>
        </w:rPr>
      </w:pPr>
      <w:r>
        <w:rPr>
          <w:rFonts w:ascii="Times New Roman" w:cs="Times New Roman" w:eastAsia="Times New Roman" w:hAnsi="Times New Roman"/>
          <w:sz w:val="16"/>
          <w:szCs w:val="16"/>
          <w:color w:val="auto"/>
        </w:rPr>
        <w:t>Total equity increased $ 108.3 million to $2.19 billion at December 31, 2024, compared to total equity of $2.08 billion at December 31, 2023. Increases to equity included $200.7 million in net earnings and an $ 11.5 million increase in other comprehensive income, that were partially offset by $111.9 million in cash dividends. We did not repurchase any stock in 2024. In 2023, we repurchased 791,800 shares of common stock, at an average repurchase price of $23.43, totaling $18.5 million. The Company's 2024 10b5-1 stock repurchase plan was authorized in November 2024 and allows for the repurchase of up to 10,000,000 shares of CVB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Sale-Leaseback Transactions</w:t>
      </w:r>
    </w:p>
    <w:p>
      <w:pPr>
        <w:spacing w:after="0" w:line="156" w:lineRule="exact"/>
        <w:rPr>
          <w:sz w:val="20"/>
          <w:szCs w:val="20"/>
          <w:color w:val="auto"/>
        </w:rPr>
      </w:pPr>
    </w:p>
    <w:p>
      <w:pPr>
        <w:ind w:right="160" w:firstLine="468"/>
        <w:spacing w:after="0" w:line="247" w:lineRule="auto"/>
        <w:rPr>
          <w:sz w:val="20"/>
          <w:szCs w:val="20"/>
          <w:color w:val="auto"/>
        </w:rPr>
      </w:pPr>
      <w:r>
        <w:rPr>
          <w:rFonts w:ascii="Times New Roman" w:cs="Times New Roman" w:eastAsia="Times New Roman" w:hAnsi="Times New Roman"/>
          <w:sz w:val="16"/>
          <w:szCs w:val="16"/>
          <w:color w:val="auto"/>
        </w:rPr>
        <w:t>During the third and fourth quarters of 2024, the Bank executed sale -leaseback transactions and sold four buildings for a cumulative sale price of $47.1 million, resulting in a net pre-tax gain of $25.9 million and cash proceeds of $ 44.76 million. The Bank simultaneously entered into lease agreements with the respective purchasers for initial terms of 15 and 18 years. Total ROU assets and corresponding operating lease liabilities recorded were $26.8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Securities and BOLI</w:t>
      </w:r>
    </w:p>
    <w:p>
      <w:pPr>
        <w:spacing w:after="0" w:line="156"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color w:val="auto"/>
        </w:rPr>
        <w:t>The Company maintains a portfolio of investment securities to provide interest income and to serve as a source of liquidity for its ongoing operations. We continued to shrink our investment portfolio in 2024. At December 31, 2024, total investment securities were $4.92 billion. This represented a decrease of $499.0 million, or 9.20%, from total investment securities of $5.42 billion at December 31, 2023. The decrease in investment securities was primarily due to principal payments and maturities, as well as sales of securities exceeding purchases during the year. Concurrent with the sale-leaseback transactions in the third and fourth quarters of 2024, the Bank sold AFS securities with a book value of $467 million, resulting in a net pre -tax loss of $28.3 million. At December 31, 2024, our AFS investment securities totaled $2.54 billion, inclusive of a pre -tax net unrealized loss of $447.7 million. The after-tax unrealized loss reported in AOCI on AFS investment securities was $315.4 million. This represented a decrease of $1.4 million from $316.8 million after -tax unrealized loss at December 31, 2023. The change in the net unrealized holding loss resulted primarily from fluctuations in market interest rates and from realized losses on sold securities. At December 31, 2024, total HTM investment securities of $2.38 billion declined by $84.9 million from December 31, 2023. For the years ended December 31, 2024 and 2023, sales/repayments/maturities of investment securities totaled $901.5 million and $450.3 million, respectively. The Company purchased additional investment securities totaling $430.6 million and $48.4 million for the years ended December 31, 2024 and 2023, respectively.</w:t>
      </w:r>
    </w:p>
    <w:p>
      <w:pPr>
        <w:spacing w:after="0" w:line="138" w:lineRule="exact"/>
        <w:rPr>
          <w:sz w:val="20"/>
          <w:szCs w:val="20"/>
          <w:color w:val="auto"/>
        </w:rPr>
      </w:pPr>
    </w:p>
    <w:p>
      <w:pPr>
        <w:ind w:right="60" w:firstLine="588"/>
        <w:spacing w:after="0" w:line="259" w:lineRule="auto"/>
        <w:rPr>
          <w:sz w:val="20"/>
          <w:szCs w:val="20"/>
          <w:color w:val="auto"/>
        </w:rPr>
      </w:pPr>
      <w:r>
        <w:rPr>
          <w:rFonts w:ascii="Times New Roman" w:cs="Times New Roman" w:eastAsia="Times New Roman" w:hAnsi="Times New Roman"/>
          <w:sz w:val="16"/>
          <w:szCs w:val="16"/>
          <w:color w:val="auto"/>
        </w:rPr>
        <w:t>At December 31, 2024, the Company had $316.2 million of BOLI. The $7.5 million increase in the value of BOLI, when compared to December 31, 2023, was primarily due to increases in the cash surrender value of the policies owned.</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2" w:name="page53"/>
    <w:bookmarkEnd w:id="52"/>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tables below set forth our investment securities AFS and HTM portfolio by type for the dates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40" w:type="dxa"/>
            <w:vAlign w:val="bottom"/>
            <w:gridSpan w:val="4"/>
          </w:tcPr>
          <w:p>
            <w:pPr>
              <w:jc w:val="center"/>
              <w:ind w:left="7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7"/>
          </w:tcPr>
          <w:p>
            <w:pPr>
              <w:jc w:val="center"/>
              <w:ind w:right="6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Government agency/GSE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34,255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1.35%</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68"/>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2,134,534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83.97%</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2,507,679</w:t>
            </w:r>
          </w:p>
        </w:tc>
        <w:tc>
          <w:tcPr>
            <w:tcW w:w="20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84.83%</w:t>
            </w:r>
          </w:p>
        </w:tc>
        <w:tc>
          <w:tcPr>
            <w:tcW w:w="0" w:type="dxa"/>
            <w:vAlign w:val="bottom"/>
          </w:tcPr>
          <w:p>
            <w:pPr>
              <w:spacing w:after="0"/>
              <w:rPr>
                <w:sz w:val="1"/>
                <w:szCs w:val="1"/>
                <w:color w:val="auto"/>
              </w:rPr>
            </w:pPr>
          </w:p>
        </w:tc>
      </w:tr>
      <w:tr>
        <w:trPr>
          <w:trHeight w:val="16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CMO/REMIC</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351,522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13.82%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389,362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0" w:type="dxa"/>
            <w:vAlign w:val="bottom"/>
          </w:tcPr>
          <w:p>
            <w:pPr>
              <w:spacing w:after="0"/>
              <w:rPr>
                <w:sz w:val="1"/>
                <w:szCs w:val="1"/>
                <w:color w:val="auto"/>
              </w:rPr>
            </w:pPr>
          </w:p>
        </w:tc>
      </w:tr>
      <w:tr>
        <w:trPr>
          <w:trHeight w:val="168"/>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Municipal bonds</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20,377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25,635</w:t>
            </w:r>
          </w:p>
        </w:tc>
        <w:tc>
          <w:tcPr>
            <w:tcW w:w="20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0" w:type="dxa"/>
            <w:vAlign w:val="bottom"/>
          </w:tcPr>
          <w:p>
            <w:pPr>
              <w:spacing w:after="0"/>
              <w:rPr>
                <w:sz w:val="1"/>
                <w:szCs w:val="1"/>
                <w:color w:val="auto"/>
              </w:rPr>
            </w:pPr>
          </w:p>
        </w:tc>
      </w:tr>
      <w:tr>
        <w:trPr>
          <w:trHeight w:val="16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securities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88"/>
        </w:trPr>
        <w:tc>
          <w:tcPr>
            <w:tcW w:w="4080" w:type="dxa"/>
            <w:vAlign w:val="bottom"/>
            <w:shd w:val="clear" w:color="auto" w:fill="CFF0FC"/>
          </w:tcPr>
          <w:p>
            <w:pPr>
              <w:ind w:left="340"/>
              <w:spacing w:after="0" w:line="148" w:lineRule="exact"/>
              <w:rPr>
                <w:sz w:val="20"/>
                <w:szCs w:val="20"/>
                <w:color w:val="auto"/>
              </w:rPr>
            </w:pPr>
            <w:r>
              <w:rPr>
                <w:rFonts w:ascii="Times New Roman" w:cs="Times New Roman" w:eastAsia="Times New Roman" w:hAnsi="Times New Roman"/>
                <w:sz w:val="14"/>
                <w:szCs w:val="14"/>
                <w:color w:val="auto"/>
              </w:rPr>
              <w:t>Total available-for-sale securities</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2,542,115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80"/>
              <w:spacing w:after="0" w:line="148"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7"/>
                <w:szCs w:val="17"/>
                <w:color w:val="auto"/>
                <w:vertAlign w:val="subscript"/>
              </w:rPr>
              <w:t>%</w:t>
            </w:r>
          </w:p>
        </w:tc>
        <w:tc>
          <w:tcPr>
            <w:tcW w:w="360" w:type="dxa"/>
            <w:vAlign w:val="bottom"/>
            <w:gridSpan w:val="2"/>
            <w:shd w:val="clear" w:color="auto" w:fill="CFF0FC"/>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FF0FC"/>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2,956,125</w:t>
            </w:r>
          </w:p>
        </w:tc>
        <w:tc>
          <w:tcPr>
            <w:tcW w:w="20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4"/>
                <w:szCs w:val="24"/>
                <w:color w:val="auto"/>
              </w:rPr>
            </w:pPr>
          </w:p>
        </w:tc>
        <w:tc>
          <w:tcPr>
            <w:tcW w:w="1740" w:type="dxa"/>
            <w:vAlign w:val="bottom"/>
            <w:gridSpan w:val="4"/>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7"/>
          </w:tcPr>
          <w:p>
            <w:pPr>
              <w:jc w:val="center"/>
              <w:ind w:right="8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Government agency/GSE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514,572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21.62%</w:t>
            </w:r>
          </w:p>
        </w:tc>
        <w:tc>
          <w:tcPr>
            <w:tcW w:w="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530,656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0" w:type="dxa"/>
            <w:vAlign w:val="bottom"/>
          </w:tcPr>
          <w:p>
            <w:pPr>
              <w:spacing w:after="0"/>
              <w:rPr>
                <w:sz w:val="1"/>
                <w:szCs w:val="1"/>
                <w:color w:val="auto"/>
              </w:rPr>
            </w:pPr>
          </w:p>
        </w:tc>
      </w:tr>
      <w:tr>
        <w:trPr>
          <w:trHeight w:val="168"/>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614,383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25.82%</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663,090</w:t>
            </w:r>
          </w:p>
        </w:tc>
        <w:tc>
          <w:tcPr>
            <w:tcW w:w="20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0" w:type="dxa"/>
            <w:vAlign w:val="bottom"/>
          </w:tcPr>
          <w:p>
            <w:pPr>
              <w:spacing w:after="0"/>
              <w:rPr>
                <w:sz w:val="1"/>
                <w:szCs w:val="1"/>
                <w:color w:val="auto"/>
              </w:rPr>
            </w:pPr>
          </w:p>
        </w:tc>
      </w:tr>
      <w:tr>
        <w:trPr>
          <w:trHeight w:val="16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CMO/REMIC</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784,059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32.95%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802,892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0" w:type="dxa"/>
            <w:vAlign w:val="bottom"/>
          </w:tcPr>
          <w:p>
            <w:pPr>
              <w:spacing w:after="0"/>
              <w:rPr>
                <w:sz w:val="1"/>
                <w:szCs w:val="1"/>
                <w:color w:val="auto"/>
              </w:rPr>
            </w:pPr>
          </w:p>
        </w:tc>
      </w:tr>
      <w:tr>
        <w:trPr>
          <w:trHeight w:val="168"/>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Municipal bonds</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455,199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19.13%</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467,972</w:t>
            </w:r>
          </w:p>
        </w:tc>
        <w:tc>
          <w:tcPr>
            <w:tcW w:w="20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0" w:type="dxa"/>
            <w:vAlign w:val="bottom"/>
          </w:tcPr>
          <w:p>
            <w:pPr>
              <w:spacing w:after="0"/>
              <w:rPr>
                <w:sz w:val="1"/>
                <w:szCs w:val="1"/>
                <w:color w:val="auto"/>
              </w:rPr>
            </w:pPr>
          </w:p>
        </w:tc>
      </w:tr>
      <w:tr>
        <w:trPr>
          <w:trHeight w:val="16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securities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0.48%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080" w:type="dxa"/>
            <w:vAlign w:val="bottom"/>
            <w:shd w:val="clear" w:color="auto" w:fill="CFF0FC"/>
          </w:tcPr>
          <w:p>
            <w:pPr>
              <w:ind w:left="340"/>
              <w:spacing w:after="0" w:line="148" w:lineRule="exact"/>
              <w:rPr>
                <w:sz w:val="20"/>
                <w:szCs w:val="20"/>
                <w:color w:val="auto"/>
              </w:rPr>
            </w:pPr>
            <w:r>
              <w:rPr>
                <w:rFonts w:ascii="Times New Roman" w:cs="Times New Roman" w:eastAsia="Times New Roman" w:hAnsi="Times New Roman"/>
                <w:sz w:val="14"/>
                <w:szCs w:val="14"/>
                <w:color w:val="auto"/>
              </w:rPr>
              <w:t>Total held-to-maturity securities</w:t>
            </w:r>
          </w:p>
        </w:tc>
        <w:tc>
          <w:tcPr>
            <w:tcW w:w="1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2,379,668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line="148"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7"/>
                <w:szCs w:val="17"/>
                <w:color w:val="auto"/>
                <w:vertAlign w:val="subscript"/>
              </w:rPr>
              <w:t>%</w:t>
            </w:r>
          </w:p>
        </w:tc>
        <w:tc>
          <w:tcPr>
            <w:tcW w:w="360" w:type="dxa"/>
            <w:vAlign w:val="bottom"/>
            <w:gridSpan w:val="2"/>
            <w:shd w:val="clear" w:color="auto" w:fill="CFF0FC"/>
          </w:tcPr>
          <w:p>
            <w:pPr>
              <w:jc w:val="right"/>
              <w:ind w:right="280"/>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right w:val="single" w:sz="8" w:color="CFF0FC"/>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2,464,610</w:t>
            </w: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144"/>
        </w:trPr>
        <w:tc>
          <w:tcPr>
            <w:tcW w:w="4080" w:type="dxa"/>
            <w:vAlign w:val="bottom"/>
            <w:tcBorders>
              <w:top w:val="single" w:sz="8" w:color="CFF0FC"/>
            </w:tcBorders>
          </w:tcPr>
          <w:p>
            <w:pPr>
              <w:ind w:left="340"/>
              <w:spacing w:after="0" w:line="144" w:lineRule="exact"/>
              <w:rPr>
                <w:sz w:val="20"/>
                <w:szCs w:val="20"/>
                <w:color w:val="auto"/>
              </w:rPr>
            </w:pPr>
            <w:r>
              <w:rPr>
                <w:rFonts w:ascii="Times New Roman" w:cs="Times New Roman" w:eastAsia="Times New Roman" w:hAnsi="Times New Roman"/>
                <w:sz w:val="14"/>
                <w:szCs w:val="14"/>
                <w:color w:val="auto"/>
              </w:rPr>
              <w:t>Fair Value</w:t>
            </w:r>
          </w:p>
        </w:tc>
        <w:tc>
          <w:tcPr>
            <w:tcW w:w="1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1,954,345</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28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2,082,881</w:t>
            </w:r>
          </w:p>
        </w:tc>
        <w:tc>
          <w:tcPr>
            <w:tcW w:w="2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distribution of the AFS and HTM portfolios by estimated average life consist of the following as of the date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5"/>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After One</w:t>
            </w:r>
          </w:p>
        </w:tc>
        <w:tc>
          <w:tcPr>
            <w:tcW w:w="14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Five Years</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One Year or</w:t>
            </w:r>
          </w:p>
        </w:tc>
        <w:tc>
          <w:tcPr>
            <w:tcW w:w="14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Through</w:t>
            </w:r>
          </w:p>
        </w:tc>
        <w:tc>
          <w:tcPr>
            <w:tcW w:w="14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Through</w:t>
            </w:r>
          </w:p>
        </w:tc>
        <w:tc>
          <w:tcPr>
            <w:tcW w:w="14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After Ten</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Percent to</w:t>
            </w: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Less</w:t>
            </w:r>
          </w:p>
        </w:tc>
        <w:tc>
          <w:tcPr>
            <w:tcW w:w="14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Five Years</w:t>
            </w:r>
          </w:p>
        </w:tc>
        <w:tc>
          <w:tcPr>
            <w:tcW w:w="14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Ten Years</w:t>
            </w:r>
          </w:p>
        </w:tc>
        <w:tc>
          <w:tcPr>
            <w:tcW w:w="140" w:type="dxa"/>
            <w:vAlign w:val="bottom"/>
          </w:tcPr>
          <w:p>
            <w:pPr>
              <w:spacing w:after="0"/>
              <w:rPr>
                <w:sz w:val="13"/>
                <w:szCs w:val="13"/>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0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0"/>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right"/>
              <w:ind w:right="80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available-for-sale:</w:t>
            </w: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Government agency/GSE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34,255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34,255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20" w:type="dxa"/>
            <w:vAlign w:val="bottom"/>
          </w:tcPr>
          <w:p>
            <w:pPr>
              <w:spacing w:after="0"/>
              <w:rPr>
                <w:sz w:val="13"/>
                <w:szCs w:val="13"/>
                <w:color w:val="auto"/>
              </w:rPr>
            </w:pPr>
          </w:p>
        </w:tc>
      </w:tr>
      <w:tr>
        <w:trPr>
          <w:trHeight w:val="156"/>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7,523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127,017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1,616,715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383,279</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2,134,534</w:t>
            </w:r>
          </w:p>
        </w:tc>
        <w:tc>
          <w:tcPr>
            <w:tcW w:w="2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83.97%</w:t>
            </w:r>
          </w:p>
        </w:tc>
        <w:tc>
          <w:tcPr>
            <w:tcW w:w="20" w:type="dxa"/>
            <w:vAlign w:val="bottom"/>
          </w:tcPr>
          <w:p>
            <w:pPr>
              <w:spacing w:after="0"/>
              <w:rPr>
                <w:sz w:val="13"/>
                <w:szCs w:val="13"/>
                <w:color w:val="auto"/>
              </w:rPr>
            </w:pP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16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347,678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351,522</w:t>
            </w:r>
          </w:p>
        </w:tc>
        <w:tc>
          <w:tcPr>
            <w:tcW w:w="22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20" w:type="dxa"/>
            <w:vAlign w:val="bottom"/>
          </w:tcPr>
          <w:p>
            <w:pPr>
              <w:spacing w:after="0"/>
              <w:rPr>
                <w:sz w:val="13"/>
                <w:szCs w:val="13"/>
                <w:color w:val="auto"/>
              </w:rPr>
            </w:pPr>
          </w:p>
        </w:tc>
      </w:tr>
      <w:tr>
        <w:trPr>
          <w:trHeight w:val="156"/>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Municipal bonds (1)</w:t>
            </w: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7,120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10,862</w:t>
            </w: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20,377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0.80%</w:t>
            </w:r>
          </w:p>
        </w:tc>
        <w:tc>
          <w:tcPr>
            <w:tcW w:w="20" w:type="dxa"/>
            <w:vAlign w:val="bottom"/>
          </w:tcPr>
          <w:p>
            <w:pPr>
              <w:spacing w:after="0"/>
              <w:rPr>
                <w:sz w:val="13"/>
                <w:szCs w:val="13"/>
                <w:color w:val="auto"/>
              </w:rPr>
            </w:pP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securities</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22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20" w:type="dxa"/>
            <w:vAlign w:val="bottom"/>
          </w:tcPr>
          <w:p>
            <w:pPr>
              <w:spacing w:after="0"/>
              <w:rPr>
                <w:sz w:val="13"/>
                <w:szCs w:val="13"/>
                <w:color w:val="auto"/>
              </w:rPr>
            </w:pPr>
          </w:p>
        </w:tc>
      </w:tr>
      <w:tr>
        <w:trPr>
          <w:trHeight w:val="196"/>
        </w:trPr>
        <w:tc>
          <w:tcPr>
            <w:tcW w:w="3280" w:type="dxa"/>
            <w:vAlign w:val="bottom"/>
            <w:shd w:val="clear" w:color="auto" w:fill="CFF0FC"/>
          </w:tcPr>
          <w:p>
            <w:pPr>
              <w:ind w:left="34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60" w:type="dxa"/>
            <w:vAlign w:val="bottom"/>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FF0FC"/>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43,205</w:t>
            </w:r>
          </w:p>
        </w:tc>
        <w:tc>
          <w:tcPr>
            <w:tcW w:w="1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136,474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1,629,084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733,352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2,542,115</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9"/>
                <w:szCs w:val="9"/>
                <w:color w:val="auto"/>
              </w:rPr>
              <w:t>100.00</w:t>
            </w:r>
            <w:r>
              <w:rPr>
                <w:rFonts w:ascii="Times New Roman" w:cs="Times New Roman" w:eastAsia="Times New Roman" w:hAnsi="Times New Roman"/>
                <w:sz w:val="15"/>
                <w:szCs w:val="15"/>
                <w:color w:val="auto"/>
                <w:vertAlign w:val="subscript"/>
              </w:rPr>
              <w:t>%</w:t>
            </w:r>
          </w:p>
        </w:tc>
        <w:tc>
          <w:tcPr>
            <w:tcW w:w="20" w:type="dxa"/>
            <w:vAlign w:val="bottom"/>
          </w:tcPr>
          <w:p>
            <w:pPr>
              <w:spacing w:after="0"/>
              <w:rPr>
                <w:sz w:val="17"/>
                <w:szCs w:val="17"/>
                <w:color w:val="auto"/>
              </w:rPr>
            </w:pPr>
          </w:p>
        </w:tc>
      </w:tr>
      <w:tr>
        <w:trPr>
          <w:trHeight w:val="132"/>
        </w:trPr>
        <w:tc>
          <w:tcPr>
            <w:tcW w:w="3280" w:type="dxa"/>
            <w:vAlign w:val="bottom"/>
            <w:tcBorders>
              <w:top w:val="single" w:sz="8" w:color="CFF0FC"/>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Weighted average yield:</w:t>
            </w: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0" w:type="dxa"/>
            <w:vAlign w:val="bottom"/>
          </w:tcPr>
          <w:p>
            <w:pPr>
              <w:spacing w:after="0"/>
              <w:rPr>
                <w:sz w:val="11"/>
                <w:szCs w:val="11"/>
                <w:color w:val="auto"/>
              </w:rPr>
            </w:pPr>
          </w:p>
        </w:tc>
      </w:tr>
      <w:tr>
        <w:trPr>
          <w:trHeight w:val="156"/>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Government agency/GSE</w:t>
            </w: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4.90%</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4.90%</w:t>
            </w: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2.85%</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1.76%</w:t>
            </w:r>
          </w:p>
        </w:tc>
        <w:tc>
          <w:tcPr>
            <w:tcW w:w="14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2.10%</w:t>
            </w:r>
          </w:p>
        </w:tc>
        <w:tc>
          <w:tcPr>
            <w:tcW w:w="14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5.20%</w:t>
            </w:r>
          </w:p>
        </w:tc>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2.64%</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2.82%</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3.12%</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1.51%</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1.52%</w:t>
            </w: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Municipal bonds (1)</w:t>
            </w:r>
          </w:p>
        </w:tc>
        <w:tc>
          <w:tcPr>
            <w:tcW w:w="16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2.79%</w:t>
            </w:r>
          </w:p>
        </w:tc>
        <w:tc>
          <w:tcPr>
            <w:tcW w:w="14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2.55%</w:t>
            </w:r>
          </w:p>
        </w:tc>
        <w:tc>
          <w:tcPr>
            <w:tcW w:w="14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2.58%</w:t>
            </w:r>
          </w:p>
        </w:tc>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2.64%</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Other securities</w:t>
            </w: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2.33%</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2.33%</w:t>
            </w: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3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4.46%</w:t>
            </w:r>
          </w:p>
        </w:tc>
        <w:tc>
          <w:tcPr>
            <w:tcW w:w="1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1.84%</w:t>
            </w:r>
          </w:p>
        </w:tc>
        <w:tc>
          <w:tcPr>
            <w:tcW w:w="1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2.10%</w:t>
            </w:r>
          </w:p>
        </w:tc>
        <w:tc>
          <w:tcPr>
            <w:tcW w:w="1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3.44%</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2.52%</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(1)The weighted average yield for the portfolio is not tax-equivalent. The tax equivalent yield at December 13, 2024 was 3.18%.</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3" w:name="page54"/>
    <w:bookmarkEnd w:id="53"/>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5"/>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After One</w:t>
            </w:r>
          </w:p>
        </w:tc>
        <w:tc>
          <w:tcPr>
            <w:tcW w:w="14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Five Years</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One Year or</w:t>
            </w:r>
          </w:p>
        </w:tc>
        <w:tc>
          <w:tcPr>
            <w:tcW w:w="14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Through</w:t>
            </w:r>
          </w:p>
        </w:tc>
        <w:tc>
          <w:tcPr>
            <w:tcW w:w="14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Through</w:t>
            </w:r>
          </w:p>
        </w:tc>
        <w:tc>
          <w:tcPr>
            <w:tcW w:w="14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After Ten</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Percent to</w:t>
            </w: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Less</w:t>
            </w:r>
          </w:p>
        </w:tc>
        <w:tc>
          <w:tcPr>
            <w:tcW w:w="14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Five Years</w:t>
            </w:r>
          </w:p>
        </w:tc>
        <w:tc>
          <w:tcPr>
            <w:tcW w:w="14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Ten Years</w:t>
            </w:r>
          </w:p>
        </w:tc>
        <w:tc>
          <w:tcPr>
            <w:tcW w:w="140" w:type="dxa"/>
            <w:vAlign w:val="bottom"/>
          </w:tcPr>
          <w:p>
            <w:pPr>
              <w:spacing w:after="0"/>
              <w:rPr>
                <w:sz w:val="13"/>
                <w:szCs w:val="13"/>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0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0"/>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right"/>
              <w:ind w:right="80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 held-to-maturity:</w:t>
            </w: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Government agency/GSE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168,440</w:t>
            </w:r>
          </w:p>
        </w:tc>
        <w:tc>
          <w:tcPr>
            <w:tcW w:w="220" w:type="dxa"/>
            <w:vAlign w:val="bottom"/>
          </w:tcPr>
          <w:p>
            <w:pPr>
              <w:spacing w:after="0"/>
              <w:rPr>
                <w:sz w:val="13"/>
                <w:szCs w:val="13"/>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346,132</w:t>
            </w:r>
          </w:p>
        </w:tc>
        <w:tc>
          <w:tcPr>
            <w:tcW w:w="2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514,572</w:t>
            </w:r>
          </w:p>
        </w:tc>
        <w:tc>
          <w:tcPr>
            <w:tcW w:w="22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21.62%</w:t>
            </w:r>
          </w:p>
        </w:tc>
        <w:tc>
          <w:tcPr>
            <w:tcW w:w="20" w:type="dxa"/>
            <w:vAlign w:val="bottom"/>
          </w:tcPr>
          <w:p>
            <w:pPr>
              <w:spacing w:after="0"/>
              <w:rPr>
                <w:sz w:val="13"/>
                <w:szCs w:val="13"/>
                <w:color w:val="auto"/>
              </w:rPr>
            </w:pPr>
          </w:p>
        </w:tc>
      </w:tr>
      <w:tr>
        <w:trPr>
          <w:trHeight w:val="156"/>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18,160</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38,074</w:t>
            </w: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556,487</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614,383</w:t>
            </w:r>
          </w:p>
        </w:tc>
        <w:tc>
          <w:tcPr>
            <w:tcW w:w="2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25.82%</w:t>
            </w:r>
          </w:p>
        </w:tc>
        <w:tc>
          <w:tcPr>
            <w:tcW w:w="20" w:type="dxa"/>
            <w:vAlign w:val="bottom"/>
          </w:tcPr>
          <w:p>
            <w:pPr>
              <w:spacing w:after="0"/>
              <w:rPr>
                <w:sz w:val="13"/>
                <w:szCs w:val="13"/>
                <w:color w:val="auto"/>
              </w:rPr>
            </w:pP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16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784,059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784,059</w:t>
            </w:r>
          </w:p>
        </w:tc>
        <w:tc>
          <w:tcPr>
            <w:tcW w:w="22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32.95%</w:t>
            </w:r>
          </w:p>
        </w:tc>
        <w:tc>
          <w:tcPr>
            <w:tcW w:w="20" w:type="dxa"/>
            <w:vAlign w:val="bottom"/>
          </w:tcPr>
          <w:p>
            <w:pPr>
              <w:spacing w:after="0"/>
              <w:rPr>
                <w:sz w:val="13"/>
                <w:szCs w:val="13"/>
                <w:color w:val="auto"/>
              </w:rPr>
            </w:pPr>
          </w:p>
        </w:tc>
      </w:tr>
      <w:tr>
        <w:trPr>
          <w:trHeight w:val="156"/>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Municipal bonds (1)</w:t>
            </w: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42,888</w:t>
            </w: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112,027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297,888</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455,199</w:t>
            </w:r>
          </w:p>
        </w:tc>
        <w:tc>
          <w:tcPr>
            <w:tcW w:w="2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19.13%</w:t>
            </w:r>
          </w:p>
        </w:tc>
        <w:tc>
          <w:tcPr>
            <w:tcW w:w="20" w:type="dxa"/>
            <w:vAlign w:val="bottom"/>
          </w:tcPr>
          <w:p>
            <w:pPr>
              <w:spacing w:after="0"/>
              <w:rPr>
                <w:sz w:val="13"/>
                <w:szCs w:val="13"/>
                <w:color w:val="auto"/>
              </w:rPr>
            </w:pP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securities</w:t>
            </w:r>
          </w:p>
        </w:tc>
        <w:tc>
          <w:tcPr>
            <w:tcW w:w="16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11,455</w:t>
            </w:r>
          </w:p>
        </w:tc>
        <w:tc>
          <w:tcPr>
            <w:tcW w:w="2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11,455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0.48%</w:t>
            </w:r>
          </w:p>
        </w:tc>
        <w:tc>
          <w:tcPr>
            <w:tcW w:w="20" w:type="dxa"/>
            <w:vAlign w:val="bottom"/>
          </w:tcPr>
          <w:p>
            <w:pPr>
              <w:spacing w:after="0"/>
              <w:rPr>
                <w:sz w:val="13"/>
                <w:szCs w:val="13"/>
                <w:color w:val="auto"/>
              </w:rPr>
            </w:pPr>
          </w:p>
        </w:tc>
      </w:tr>
      <w:tr>
        <w:trPr>
          <w:trHeight w:val="196"/>
        </w:trPr>
        <w:tc>
          <w:tcPr>
            <w:tcW w:w="3280" w:type="dxa"/>
            <w:vAlign w:val="bottom"/>
            <w:shd w:val="clear" w:color="auto" w:fill="CFF0FC"/>
          </w:tcPr>
          <w:p>
            <w:pPr>
              <w:ind w:left="34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60" w:type="dxa"/>
            <w:vAlign w:val="bottom"/>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FF0FC"/>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20,556</w:t>
            </w:r>
          </w:p>
        </w:tc>
        <w:tc>
          <w:tcPr>
            <w:tcW w:w="1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44,550</w:t>
            </w:r>
          </w:p>
        </w:tc>
        <w:tc>
          <w:tcPr>
            <w:tcW w:w="1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318,541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1,996,021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2,379,668</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9"/>
                <w:szCs w:val="9"/>
                <w:color w:val="auto"/>
              </w:rPr>
              <w:t>100.00</w:t>
            </w:r>
            <w:r>
              <w:rPr>
                <w:rFonts w:ascii="Times New Roman" w:cs="Times New Roman" w:eastAsia="Times New Roman" w:hAnsi="Times New Roman"/>
                <w:sz w:val="15"/>
                <w:szCs w:val="15"/>
                <w:color w:val="auto"/>
                <w:vertAlign w:val="subscript"/>
              </w:rPr>
              <w:t>%</w:t>
            </w:r>
          </w:p>
        </w:tc>
        <w:tc>
          <w:tcPr>
            <w:tcW w:w="20" w:type="dxa"/>
            <w:vAlign w:val="bottom"/>
          </w:tcPr>
          <w:p>
            <w:pPr>
              <w:spacing w:after="0"/>
              <w:rPr>
                <w:sz w:val="17"/>
                <w:szCs w:val="17"/>
                <w:color w:val="auto"/>
              </w:rPr>
            </w:pPr>
          </w:p>
        </w:tc>
      </w:tr>
      <w:tr>
        <w:trPr>
          <w:trHeight w:val="132"/>
        </w:trPr>
        <w:tc>
          <w:tcPr>
            <w:tcW w:w="3280" w:type="dxa"/>
            <w:vAlign w:val="bottom"/>
            <w:tcBorders>
              <w:top w:val="single" w:sz="8" w:color="CFF0FC"/>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Weighted average yield:</w:t>
            </w: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0" w:type="dxa"/>
            <w:vAlign w:val="bottom"/>
          </w:tcPr>
          <w:p>
            <w:pPr>
              <w:spacing w:after="0"/>
              <w:rPr>
                <w:sz w:val="11"/>
                <w:szCs w:val="11"/>
                <w:color w:val="auto"/>
              </w:rPr>
            </w:pPr>
          </w:p>
        </w:tc>
      </w:tr>
      <w:tr>
        <w:trPr>
          <w:trHeight w:val="156"/>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Government agency/GSE</w:t>
            </w: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1.55%</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1.93%</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1.80%</w:t>
            </w: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1.83%</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2.51%</w:t>
            </w:r>
          </w:p>
        </w:tc>
        <w:tc>
          <w:tcPr>
            <w:tcW w:w="14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2.88%</w:t>
            </w:r>
          </w:p>
        </w:tc>
        <w:tc>
          <w:tcPr>
            <w:tcW w:w="14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2.43%</w:t>
            </w:r>
          </w:p>
        </w:tc>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2.44%</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1.88%</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1.88%</w:t>
            </w: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Municipal bonds (1)</w:t>
            </w:r>
          </w:p>
        </w:tc>
        <w:tc>
          <w:tcPr>
            <w:tcW w:w="16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2.60%</w:t>
            </w:r>
          </w:p>
        </w:tc>
        <w:tc>
          <w:tcPr>
            <w:tcW w:w="14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2.40%</w:t>
            </w:r>
          </w:p>
        </w:tc>
        <w:tc>
          <w:tcPr>
            <w:tcW w:w="14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2.76%</w:t>
            </w:r>
          </w:p>
        </w:tc>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2.66%</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Other securities</w:t>
            </w: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8.58%</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8.58%</w:t>
            </w: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3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1.91%</w:t>
            </w:r>
          </w:p>
        </w:tc>
        <w:tc>
          <w:tcPr>
            <w:tcW w:w="1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2.59%</w:t>
            </w:r>
          </w:p>
        </w:tc>
        <w:tc>
          <w:tcPr>
            <w:tcW w:w="1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2.01%</w:t>
            </w:r>
          </w:p>
        </w:tc>
        <w:tc>
          <w:tcPr>
            <w:tcW w:w="1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2.21%</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2.19%</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(1)The weighted average yield for the portfolio is not tax-equivalent. The tax equivalent yield at December 31, 2024 was 2.77%.</w:t>
      </w:r>
    </w:p>
    <w:p>
      <w:pPr>
        <w:spacing w:after="0" w:line="198" w:lineRule="exact"/>
        <w:rPr>
          <w:sz w:val="20"/>
          <w:szCs w:val="20"/>
          <w:color w:val="auto"/>
        </w:rPr>
      </w:pPr>
    </w:p>
    <w:p>
      <w:pPr>
        <w:ind w:right="100" w:firstLine="588"/>
        <w:spacing w:after="0" w:line="239" w:lineRule="auto"/>
        <w:rPr>
          <w:sz w:val="20"/>
          <w:szCs w:val="20"/>
          <w:color w:val="auto"/>
        </w:rPr>
      </w:pPr>
      <w:r>
        <w:rPr>
          <w:rFonts w:ascii="Times New Roman" w:cs="Times New Roman" w:eastAsia="Times New Roman" w:hAnsi="Times New Roman"/>
          <w:sz w:val="16"/>
          <w:szCs w:val="16"/>
          <w:color w:val="auto"/>
        </w:rPr>
        <w:t>The maturity of each security category is defined as the contractual maturity except for the categories of mortgage-backed securities and CMO/REMIC whose maturities are defined as the estimated average life. The final maturity of mortgage -backed securities and CMO/REMIC will differ from their contractual maturities because the underlying mortgages have the right to repay such obligations without penalty. The speed at which the underlying mortgages repay is influenced by many factors, one of which is interest rates. Mortgages tend to repay faster as interest rates fall and slower as interest rate rise. This will either shorten or extend the estimated average life. Also, the yield on mortgage-backed securities and CMO/REMIC are affected by the speed at which the underlying mortgages repay. This is caused by the change in the amount of amortization of premiums or accretion of discounts of each security as repayments increase or decrease. The Company obtains the estimated average life of each security from independent third parties.</w:t>
      </w:r>
    </w:p>
    <w:p>
      <w:pPr>
        <w:spacing w:after="0" w:line="170"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The weighted- average yield on the total investment portfolio at December 31, 2024 was 2.36% with a weighted -average life of 7.2 years. This compares to a weighted -average yield of 2.16% at December 31, 2023 with a weighted-average life of 6.7 years. The weighted average life is the average number of years that each dollar of unpaid principal due remains outstanding. Average life is computed as the weighted-average time to the receipt of all future cash flows, using as the weights the dollar amounts of the principal pay-downs.</w:t>
      </w:r>
    </w:p>
    <w:p>
      <w:pPr>
        <w:spacing w:after="0" w:line="167" w:lineRule="exact"/>
        <w:rPr>
          <w:sz w:val="20"/>
          <w:szCs w:val="20"/>
          <w:color w:val="auto"/>
        </w:rPr>
      </w:pPr>
    </w:p>
    <w:p>
      <w:pPr>
        <w:ind w:right="40" w:firstLine="588"/>
        <w:spacing w:after="0" w:line="243" w:lineRule="auto"/>
        <w:rPr>
          <w:sz w:val="20"/>
          <w:szCs w:val="20"/>
          <w:color w:val="auto"/>
        </w:rPr>
      </w:pPr>
      <w:r>
        <w:rPr>
          <w:rFonts w:ascii="Times New Roman" w:cs="Times New Roman" w:eastAsia="Times New Roman" w:hAnsi="Times New Roman"/>
          <w:sz w:val="16"/>
          <w:szCs w:val="16"/>
          <w:color w:val="auto"/>
        </w:rPr>
        <w:t>Approximately 90% of the securities in the total investment portfolio, at December 31, 2024, are issued by the U.S. government or U.S. government-sponsored enterprises, with the implied guarantee of payment of principal and interest. The remaining securities are predominately AA or better general- obligation municipal bonds. As of December 31, 2024, approximately $27.1 million in U.S. government agency bonds are callable. The Agency CMO/REMIC are backed by agency-pooled collateral. Municipal bonds, which represented approximately 10% of the total investment portfolio, are predominately AA or higher rated securities.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4" w:name="page55"/>
    <w:bookmarkEnd w:id="54"/>
    <w:p>
      <w:pPr>
        <w:spacing w:after="0" w:line="209" w:lineRule="exact"/>
        <w:rPr>
          <w:sz w:val="20"/>
          <w:szCs w:val="20"/>
          <w:color w:val="auto"/>
        </w:rPr>
      </w:pPr>
    </w:p>
    <w:p>
      <w:pPr>
        <w:ind w:right="80" w:firstLine="600"/>
        <w:spacing w:after="0" w:line="259" w:lineRule="auto"/>
        <w:rPr>
          <w:sz w:val="20"/>
          <w:szCs w:val="20"/>
          <w:color w:val="auto"/>
        </w:rPr>
      </w:pPr>
      <w:r>
        <w:rPr>
          <w:rFonts w:ascii="Times New Roman" w:cs="Times New Roman" w:eastAsia="Times New Roman" w:hAnsi="Times New Roman"/>
          <w:sz w:val="16"/>
          <w:szCs w:val="16"/>
          <w:color w:val="auto"/>
        </w:rPr>
        <w:t>Municipal securities held by the Company are issued by various states and their various local municipalities. The following tables present municipal securities by the top holdings by state as of the dates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740" w:type="dxa"/>
            <w:vAlign w:val="bottom"/>
            <w:gridSpan w:val="2"/>
          </w:tcPr>
          <w:p>
            <w:pPr>
              <w:jc w:val="right"/>
              <w:ind w:right="680"/>
              <w:spacing w:after="0" w:line="180" w:lineRule="exact"/>
              <w:rPr>
                <w:sz w:val="20"/>
                <w:szCs w:val="20"/>
                <w:color w:val="auto"/>
              </w:rPr>
            </w:pPr>
            <w:r>
              <w:rPr>
                <w:rFonts w:ascii="Times New Roman" w:cs="Times New Roman" w:eastAsia="Times New Roman" w:hAnsi="Times New Roman"/>
                <w:sz w:val="16"/>
                <w:szCs w:val="16"/>
                <w:b w:val="1"/>
                <w:bCs w:val="1"/>
                <w:color w:val="auto"/>
              </w:rPr>
              <w:t>Percent of</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500"/>
              <w:spacing w:after="0" w:line="180"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Cost</w:t>
            </w:r>
          </w:p>
        </w:tc>
        <w:tc>
          <w:tcPr>
            <w:tcW w:w="1740" w:type="dxa"/>
            <w:vAlign w:val="bottom"/>
            <w:gridSpan w:val="2"/>
          </w:tcPr>
          <w:p>
            <w:pPr>
              <w:jc w:val="right"/>
              <w:ind w:right="84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5"/>
                <w:szCs w:val="15"/>
                <w:color w:val="auto"/>
              </w:rPr>
            </w:pPr>
          </w:p>
        </w:tc>
        <w:tc>
          <w:tcPr>
            <w:tcW w:w="138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560" w:type="dxa"/>
            <w:vAlign w:val="bottom"/>
            <w:gridSpan w:val="2"/>
          </w:tcPr>
          <w:p>
            <w:pPr>
              <w:jc w:val="right"/>
              <w:ind w:right="6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95"/>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i w:val="1"/>
                <w:iCs w:val="1"/>
                <w:color w:val="auto"/>
                <w:w w:val="97"/>
              </w:rPr>
              <w:t>(Dollars in thousands)</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4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Municipal Securities available-for-sale:</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80"/>
        </w:trPr>
        <w:tc>
          <w:tcPr>
            <w:tcW w:w="40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Minnesota</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7,816</w:t>
            </w:r>
          </w:p>
        </w:tc>
        <w:tc>
          <w:tcPr>
            <w:tcW w:w="200" w:type="dxa"/>
            <w:vAlign w:val="bottom"/>
          </w:tcPr>
          <w:p>
            <w:pPr>
              <w:spacing w:after="0"/>
              <w:rPr>
                <w:sz w:val="15"/>
                <w:szCs w:val="15"/>
                <w:color w:val="auto"/>
              </w:rPr>
            </w:pPr>
          </w:p>
        </w:tc>
        <w:tc>
          <w:tcPr>
            <w:tcW w:w="1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35.9%</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7,234</w:t>
            </w:r>
          </w:p>
        </w:tc>
        <w:tc>
          <w:tcPr>
            <w:tcW w:w="1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35.6%</w:t>
            </w:r>
          </w:p>
        </w:tc>
      </w:tr>
      <w:tr>
        <w:trPr>
          <w:trHeight w:val="180"/>
        </w:trPr>
        <w:tc>
          <w:tcPr>
            <w:tcW w:w="40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Connecticut</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5,602</w:t>
            </w:r>
          </w:p>
        </w:tc>
        <w:tc>
          <w:tcPr>
            <w:tcW w:w="2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25.8%</w:t>
            </w: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5,369</w:t>
            </w:r>
          </w:p>
        </w:tc>
        <w:tc>
          <w:tcPr>
            <w:tcW w:w="15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26.3%</w:t>
            </w:r>
          </w:p>
        </w:tc>
      </w:tr>
      <w:tr>
        <w:trPr>
          <w:trHeight w:val="180"/>
        </w:trPr>
        <w:tc>
          <w:tcPr>
            <w:tcW w:w="40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Massachusetts</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3,694</w:t>
            </w:r>
          </w:p>
        </w:tc>
        <w:tc>
          <w:tcPr>
            <w:tcW w:w="200" w:type="dxa"/>
            <w:vAlign w:val="bottom"/>
          </w:tcPr>
          <w:p>
            <w:pPr>
              <w:spacing w:after="0"/>
              <w:rPr>
                <w:sz w:val="15"/>
                <w:szCs w:val="15"/>
                <w:color w:val="auto"/>
              </w:rPr>
            </w:pPr>
          </w:p>
        </w:tc>
        <w:tc>
          <w:tcPr>
            <w:tcW w:w="1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200" w:type="dxa"/>
            <w:vAlign w:val="bottom"/>
          </w:tcPr>
          <w:p>
            <w:pPr>
              <w:spacing w:after="0"/>
              <w:rPr>
                <w:sz w:val="15"/>
                <w:szCs w:val="15"/>
                <w:color w:val="auto"/>
              </w:rPr>
            </w:pPr>
          </w:p>
        </w:tc>
        <w:tc>
          <w:tcPr>
            <w:tcW w:w="13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3,385</w:t>
            </w:r>
          </w:p>
        </w:tc>
        <w:tc>
          <w:tcPr>
            <w:tcW w:w="1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16.6%</w:t>
            </w:r>
          </w:p>
        </w:tc>
      </w:tr>
      <w:tr>
        <w:trPr>
          <w:trHeight w:val="180"/>
        </w:trPr>
        <w:tc>
          <w:tcPr>
            <w:tcW w:w="40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Maine</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1,490</w:t>
            </w:r>
          </w:p>
        </w:tc>
        <w:tc>
          <w:tcPr>
            <w:tcW w:w="2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1,350</w:t>
            </w:r>
          </w:p>
        </w:tc>
        <w:tc>
          <w:tcPr>
            <w:tcW w:w="15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w:t>
            </w:r>
          </w:p>
        </w:tc>
      </w:tr>
      <w:tr>
        <w:trPr>
          <w:trHeight w:val="180"/>
        </w:trPr>
        <w:tc>
          <w:tcPr>
            <w:tcW w:w="40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Wisconsin</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1,166</w:t>
            </w:r>
          </w:p>
        </w:tc>
        <w:tc>
          <w:tcPr>
            <w:tcW w:w="200" w:type="dxa"/>
            <w:vAlign w:val="bottom"/>
          </w:tcPr>
          <w:p>
            <w:pPr>
              <w:spacing w:after="0"/>
              <w:rPr>
                <w:sz w:val="15"/>
                <w:szCs w:val="15"/>
                <w:color w:val="auto"/>
              </w:rPr>
            </w:pPr>
          </w:p>
        </w:tc>
        <w:tc>
          <w:tcPr>
            <w:tcW w:w="1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200" w:type="dxa"/>
            <w:vAlign w:val="bottom"/>
          </w:tcPr>
          <w:p>
            <w:pPr>
              <w:spacing w:after="0"/>
              <w:rPr>
                <w:sz w:val="15"/>
                <w:szCs w:val="15"/>
                <w:color w:val="auto"/>
              </w:rPr>
            </w:pPr>
          </w:p>
        </w:tc>
        <w:tc>
          <w:tcPr>
            <w:tcW w:w="13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1,114</w:t>
            </w:r>
          </w:p>
        </w:tc>
        <w:tc>
          <w:tcPr>
            <w:tcW w:w="1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r>
      <w:tr>
        <w:trPr>
          <w:trHeight w:val="180"/>
        </w:trPr>
        <w:tc>
          <w:tcPr>
            <w:tcW w:w="40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Iowa</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1,115</w:t>
            </w:r>
          </w:p>
        </w:tc>
        <w:tc>
          <w:tcPr>
            <w:tcW w:w="2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1,025</w:t>
            </w:r>
          </w:p>
        </w:tc>
        <w:tc>
          <w:tcPr>
            <w:tcW w:w="15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180"/>
        </w:trPr>
        <w:tc>
          <w:tcPr>
            <w:tcW w:w="40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California</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872</w:t>
            </w:r>
          </w:p>
        </w:tc>
        <w:tc>
          <w:tcPr>
            <w:tcW w:w="200" w:type="dxa"/>
            <w:vAlign w:val="bottom"/>
          </w:tcPr>
          <w:p>
            <w:pPr>
              <w:spacing w:after="0"/>
              <w:rPr>
                <w:sz w:val="15"/>
                <w:szCs w:val="15"/>
                <w:color w:val="auto"/>
              </w:rPr>
            </w:pPr>
          </w:p>
        </w:tc>
        <w:tc>
          <w:tcPr>
            <w:tcW w:w="1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20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900</w:t>
            </w:r>
          </w:p>
        </w:tc>
        <w:tc>
          <w:tcPr>
            <w:tcW w:w="200" w:type="dxa"/>
            <w:vAlign w:val="bottom"/>
          </w:tcPr>
          <w:p>
            <w:pPr>
              <w:spacing w:after="0"/>
              <w:rPr>
                <w:sz w:val="15"/>
                <w:szCs w:val="15"/>
                <w:color w:val="auto"/>
              </w:rPr>
            </w:pPr>
          </w:p>
        </w:tc>
        <w:tc>
          <w:tcPr>
            <w:tcW w:w="1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r>
      <w:tr>
        <w:trPr>
          <w:trHeight w:val="220"/>
        </w:trPr>
        <w:tc>
          <w:tcPr>
            <w:tcW w:w="4080" w:type="dxa"/>
            <w:vAlign w:val="bottom"/>
            <w:shd w:val="clear" w:color="auto" w:fill="CFF0FC"/>
          </w:tcPr>
          <w:p>
            <w:pPr>
              <w:ind w:left="34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20" w:type="dxa"/>
            <w:vAlign w:val="bottom"/>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21,755</w:t>
            </w: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200" w:type="dxa"/>
            <w:vAlign w:val="bottom"/>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20,377</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156"/>
        </w:trPr>
        <w:tc>
          <w:tcPr>
            <w:tcW w:w="408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6"/>
                <w:szCs w:val="16"/>
                <w:color w:val="auto"/>
              </w:rPr>
              <w:t>Municipal Securities held-to-maturity:</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r>
      <w:tr>
        <w:trPr>
          <w:trHeight w:val="180"/>
        </w:trPr>
        <w:tc>
          <w:tcPr>
            <w:tcW w:w="40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Minnesota</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41,069</w:t>
            </w:r>
          </w:p>
        </w:tc>
        <w:tc>
          <w:tcPr>
            <w:tcW w:w="2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38,359</w:t>
            </w:r>
          </w:p>
        </w:tc>
        <w:tc>
          <w:tcPr>
            <w:tcW w:w="2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r>
      <w:tr>
        <w:trPr>
          <w:trHeight w:val="180"/>
        </w:trPr>
        <w:tc>
          <w:tcPr>
            <w:tcW w:w="40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Massachusetts</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25,565</w:t>
            </w:r>
          </w:p>
        </w:tc>
        <w:tc>
          <w:tcPr>
            <w:tcW w:w="200" w:type="dxa"/>
            <w:vAlign w:val="bottom"/>
          </w:tcPr>
          <w:p>
            <w:pPr>
              <w:spacing w:after="0"/>
              <w:rPr>
                <w:sz w:val="15"/>
                <w:szCs w:val="15"/>
                <w:color w:val="auto"/>
              </w:rPr>
            </w:pPr>
          </w:p>
        </w:tc>
        <w:tc>
          <w:tcPr>
            <w:tcW w:w="1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20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23,837</w:t>
            </w:r>
          </w:p>
        </w:tc>
        <w:tc>
          <w:tcPr>
            <w:tcW w:w="200" w:type="dxa"/>
            <w:vAlign w:val="bottom"/>
          </w:tcPr>
          <w:p>
            <w:pPr>
              <w:spacing w:after="0"/>
              <w:rPr>
                <w:sz w:val="15"/>
                <w:szCs w:val="15"/>
                <w:color w:val="auto"/>
              </w:rPr>
            </w:pPr>
          </w:p>
        </w:tc>
        <w:tc>
          <w:tcPr>
            <w:tcW w:w="1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r>
      <w:tr>
        <w:trPr>
          <w:trHeight w:val="180"/>
        </w:trPr>
        <w:tc>
          <w:tcPr>
            <w:tcW w:w="40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Texas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78,018</w:t>
            </w:r>
          </w:p>
        </w:tc>
        <w:tc>
          <w:tcPr>
            <w:tcW w:w="2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72,099</w:t>
            </w:r>
          </w:p>
        </w:tc>
        <w:tc>
          <w:tcPr>
            <w:tcW w:w="2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17.3%</w:t>
            </w:r>
          </w:p>
        </w:tc>
      </w:tr>
      <w:tr>
        <w:trPr>
          <w:trHeight w:val="180"/>
        </w:trPr>
        <w:tc>
          <w:tcPr>
            <w:tcW w:w="40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California</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46,209</w:t>
            </w:r>
          </w:p>
        </w:tc>
        <w:tc>
          <w:tcPr>
            <w:tcW w:w="200" w:type="dxa"/>
            <w:vAlign w:val="bottom"/>
          </w:tcPr>
          <w:p>
            <w:pPr>
              <w:spacing w:after="0"/>
              <w:rPr>
                <w:sz w:val="15"/>
                <w:szCs w:val="15"/>
                <w:color w:val="auto"/>
              </w:rPr>
            </w:pPr>
          </w:p>
        </w:tc>
        <w:tc>
          <w:tcPr>
            <w:tcW w:w="1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20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41,813</w:t>
            </w:r>
          </w:p>
        </w:tc>
        <w:tc>
          <w:tcPr>
            <w:tcW w:w="200" w:type="dxa"/>
            <w:vAlign w:val="bottom"/>
          </w:tcPr>
          <w:p>
            <w:pPr>
              <w:spacing w:after="0"/>
              <w:rPr>
                <w:sz w:val="15"/>
                <w:szCs w:val="15"/>
                <w:color w:val="auto"/>
              </w:rPr>
            </w:pPr>
          </w:p>
        </w:tc>
        <w:tc>
          <w:tcPr>
            <w:tcW w:w="1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r>
      <w:tr>
        <w:trPr>
          <w:trHeight w:val="180"/>
        </w:trPr>
        <w:tc>
          <w:tcPr>
            <w:tcW w:w="40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Connecticut</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7,380</w:t>
            </w:r>
          </w:p>
        </w:tc>
        <w:tc>
          <w:tcPr>
            <w:tcW w:w="2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6,635</w:t>
            </w:r>
          </w:p>
        </w:tc>
        <w:tc>
          <w:tcPr>
            <w:tcW w:w="15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r>
      <w:tr>
        <w:trPr>
          <w:trHeight w:val="180"/>
        </w:trPr>
        <w:tc>
          <w:tcPr>
            <w:tcW w:w="40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Wisconsin</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13,423</w:t>
            </w:r>
          </w:p>
        </w:tc>
        <w:tc>
          <w:tcPr>
            <w:tcW w:w="200" w:type="dxa"/>
            <w:vAlign w:val="bottom"/>
          </w:tcPr>
          <w:p>
            <w:pPr>
              <w:spacing w:after="0"/>
              <w:rPr>
                <w:sz w:val="15"/>
                <w:szCs w:val="15"/>
                <w:color w:val="auto"/>
              </w:rPr>
            </w:pPr>
          </w:p>
        </w:tc>
        <w:tc>
          <w:tcPr>
            <w:tcW w:w="1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12,861</w:t>
            </w:r>
          </w:p>
        </w:tc>
        <w:tc>
          <w:tcPr>
            <w:tcW w:w="200" w:type="dxa"/>
            <w:vAlign w:val="bottom"/>
          </w:tcPr>
          <w:p>
            <w:pPr>
              <w:spacing w:after="0"/>
              <w:rPr>
                <w:sz w:val="15"/>
                <w:szCs w:val="15"/>
                <w:color w:val="auto"/>
              </w:rPr>
            </w:pPr>
          </w:p>
        </w:tc>
        <w:tc>
          <w:tcPr>
            <w:tcW w:w="1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40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All other states (27 states)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243,535</w:t>
            </w:r>
          </w:p>
        </w:tc>
        <w:tc>
          <w:tcPr>
            <w:tcW w:w="2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53.6%</w:t>
            </w: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220,728</w:t>
            </w:r>
          </w:p>
        </w:tc>
        <w:tc>
          <w:tcPr>
            <w:tcW w:w="15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53.1%</w:t>
            </w:r>
          </w:p>
        </w:tc>
      </w:tr>
      <w:tr>
        <w:trPr>
          <w:trHeight w:val="180"/>
        </w:trPr>
        <w:tc>
          <w:tcPr>
            <w:tcW w:w="4080" w:type="dxa"/>
            <w:vAlign w:val="bottom"/>
          </w:tcPr>
          <w:p>
            <w:pPr>
              <w:ind w:left="34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455,199</w:t>
            </w:r>
          </w:p>
        </w:tc>
        <w:tc>
          <w:tcPr>
            <w:tcW w:w="200" w:type="dxa"/>
            <w:vAlign w:val="bottom"/>
          </w:tcPr>
          <w:p>
            <w:pPr>
              <w:spacing w:after="0"/>
              <w:rPr>
                <w:sz w:val="15"/>
                <w:szCs w:val="15"/>
                <w:color w:val="auto"/>
              </w:rPr>
            </w:pPr>
          </w:p>
        </w:tc>
        <w:tc>
          <w:tcPr>
            <w:tcW w:w="174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200" w:type="dxa"/>
            <w:vAlign w:val="bottom"/>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6"/>
                <w:szCs w:val="16"/>
                <w:color w:val="auto"/>
              </w:rPr>
              <w:t>416,332</w:t>
            </w:r>
          </w:p>
        </w:tc>
        <w:tc>
          <w:tcPr>
            <w:tcW w:w="15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4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gridSpan w:val="4"/>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5"/>
                <w:szCs w:val="15"/>
                <w:color w:val="auto"/>
              </w:rPr>
            </w:pPr>
          </w:p>
        </w:tc>
        <w:tc>
          <w:tcPr>
            <w:tcW w:w="1740" w:type="dxa"/>
            <w:vAlign w:val="bottom"/>
            <w:gridSpan w:val="2"/>
          </w:tcPr>
          <w:p>
            <w:pPr>
              <w:jc w:val="right"/>
              <w:ind w:right="660"/>
              <w:spacing w:after="0" w:line="180" w:lineRule="exact"/>
              <w:rPr>
                <w:sz w:val="20"/>
                <w:szCs w:val="20"/>
                <w:color w:val="auto"/>
              </w:rPr>
            </w:pPr>
            <w:r>
              <w:rPr>
                <w:rFonts w:ascii="Times New Roman" w:cs="Times New Roman" w:eastAsia="Times New Roman" w:hAnsi="Times New Roman"/>
                <w:sz w:val="16"/>
                <w:szCs w:val="16"/>
                <w:b w:val="1"/>
                <w:bCs w:val="1"/>
                <w:color w:val="auto"/>
              </w:rPr>
              <w:t>Percent of</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right"/>
              <w:ind w:right="560"/>
              <w:spacing w:after="0" w:line="180" w:lineRule="exact"/>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62"/>
              <w:spacing w:after="0" w:line="180" w:lineRule="exact"/>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5"/>
                <w:szCs w:val="15"/>
                <w:color w:val="auto"/>
              </w:rPr>
            </w:pPr>
          </w:p>
        </w:tc>
        <w:tc>
          <w:tcPr>
            <w:tcW w:w="1740" w:type="dxa"/>
            <w:vAlign w:val="bottom"/>
            <w:gridSpan w:val="2"/>
          </w:tcPr>
          <w:p>
            <w:pPr>
              <w:jc w:val="right"/>
              <w:ind w:right="82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5"/>
                <w:szCs w:val="15"/>
                <w:color w:val="auto"/>
              </w:rPr>
            </w:pPr>
          </w:p>
        </w:tc>
        <w:tc>
          <w:tcPr>
            <w:tcW w:w="118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5"/>
                <w:szCs w:val="15"/>
                <w:color w:val="auto"/>
              </w:rPr>
            </w:pPr>
          </w:p>
        </w:tc>
        <w:tc>
          <w:tcPr>
            <w:tcW w:w="1620" w:type="dxa"/>
            <w:vAlign w:val="bottom"/>
            <w:gridSpan w:val="2"/>
          </w:tcPr>
          <w:p>
            <w:pPr>
              <w:jc w:val="right"/>
              <w:ind w:right="72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4"/>
          </w:tcPr>
          <w:p>
            <w:pPr>
              <w:jc w:val="right"/>
              <w:ind w:right="76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Municipal Securities available-for-sale:</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Minnesota</w:t>
            </w:r>
          </w:p>
        </w:tc>
        <w:tc>
          <w:tcPr>
            <w:tcW w:w="2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11,018</w:t>
            </w:r>
          </w:p>
        </w:tc>
        <w:tc>
          <w:tcPr>
            <w:tcW w:w="19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41.6 %</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10,526</w:t>
            </w:r>
          </w:p>
        </w:tc>
        <w:tc>
          <w:tcPr>
            <w:tcW w:w="182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41.1 %</w:t>
            </w:r>
          </w:p>
        </w:tc>
        <w:tc>
          <w:tcPr>
            <w:tcW w:w="0" w:type="dxa"/>
            <w:vAlign w:val="bottom"/>
          </w:tcPr>
          <w:p>
            <w:pPr>
              <w:spacing w:after="0"/>
              <w:rPr>
                <w:sz w:val="1"/>
                <w:szCs w:val="1"/>
                <w:color w:val="auto"/>
              </w:rPr>
            </w:pPr>
          </w:p>
        </w:tc>
      </w:tr>
      <w:tr>
        <w:trPr>
          <w:trHeight w:val="180"/>
        </w:trPr>
        <w:tc>
          <w:tcPr>
            <w:tcW w:w="40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Connecticut</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5,611</w:t>
            </w:r>
          </w:p>
        </w:tc>
        <w:tc>
          <w:tcPr>
            <w:tcW w:w="194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21.2 %</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5,587</w:t>
            </w:r>
          </w:p>
        </w:tc>
        <w:tc>
          <w:tcPr>
            <w:tcW w:w="182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21.8 %</w:t>
            </w:r>
          </w:p>
        </w:tc>
        <w:tc>
          <w:tcPr>
            <w:tcW w:w="0" w:type="dxa"/>
            <w:vAlign w:val="bottom"/>
          </w:tcPr>
          <w:p>
            <w:pPr>
              <w:spacing w:after="0"/>
              <w:rPr>
                <w:sz w:val="1"/>
                <w:szCs w:val="1"/>
                <w:color w:val="auto"/>
              </w:rPr>
            </w:pPr>
          </w:p>
        </w:tc>
      </w:tr>
      <w:tr>
        <w:trPr>
          <w:trHeight w:val="180"/>
        </w:trPr>
        <w:tc>
          <w:tcPr>
            <w:tcW w:w="40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Massachusetts</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4,137</w:t>
            </w:r>
          </w:p>
        </w:tc>
        <w:tc>
          <w:tcPr>
            <w:tcW w:w="19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15.6 %</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3,993</w:t>
            </w:r>
          </w:p>
        </w:tc>
        <w:tc>
          <w:tcPr>
            <w:tcW w:w="182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r>
        <w:trPr>
          <w:trHeight w:val="180"/>
        </w:trPr>
        <w:tc>
          <w:tcPr>
            <w:tcW w:w="40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Maine</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1,494</w:t>
            </w:r>
          </w:p>
        </w:tc>
        <w:tc>
          <w:tcPr>
            <w:tcW w:w="194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5.6 %</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1,424</w:t>
            </w:r>
          </w:p>
        </w:tc>
        <w:tc>
          <w:tcPr>
            <w:tcW w:w="182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180"/>
        </w:trPr>
        <w:tc>
          <w:tcPr>
            <w:tcW w:w="40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Wisconsin</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1,168</w:t>
            </w:r>
          </w:p>
        </w:tc>
        <w:tc>
          <w:tcPr>
            <w:tcW w:w="19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4.4 %</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1,136</w:t>
            </w:r>
          </w:p>
        </w:tc>
        <w:tc>
          <w:tcPr>
            <w:tcW w:w="182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180"/>
        </w:trPr>
        <w:tc>
          <w:tcPr>
            <w:tcW w:w="40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Iowa</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1,115</w:t>
            </w:r>
          </w:p>
        </w:tc>
        <w:tc>
          <w:tcPr>
            <w:tcW w:w="194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4.2 %</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1,079</w:t>
            </w:r>
          </w:p>
        </w:tc>
        <w:tc>
          <w:tcPr>
            <w:tcW w:w="182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0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All other states (2 states)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7.4 %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61"/>
        </w:trPr>
        <w:tc>
          <w:tcPr>
            <w:tcW w:w="4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9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FF0FC"/>
          </w:tcPr>
          <w:p>
            <w:pPr>
              <w:ind w:left="34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20" w:type="dxa"/>
            <w:vAlign w:val="bottom"/>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26,476</w:t>
            </w:r>
          </w:p>
        </w:tc>
        <w:tc>
          <w:tcPr>
            <w:tcW w:w="1940" w:type="dxa"/>
            <w:vAlign w:val="bottom"/>
            <w:gridSpan w:val="3"/>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220" w:type="dxa"/>
            <w:vAlign w:val="bottom"/>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25,634</w:t>
            </w:r>
          </w:p>
        </w:tc>
        <w:tc>
          <w:tcPr>
            <w:tcW w:w="1820" w:type="dxa"/>
            <w:vAlign w:val="bottom"/>
            <w:gridSpan w:val="3"/>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156"/>
        </w:trPr>
        <w:tc>
          <w:tcPr>
            <w:tcW w:w="400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6"/>
                <w:szCs w:val="16"/>
                <w:color w:val="auto"/>
              </w:rPr>
              <w:t>Municipal Securities held-to-maturity:</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Texas</w:t>
            </w:r>
          </w:p>
        </w:tc>
        <w:tc>
          <w:tcPr>
            <w:tcW w:w="2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78,445</w:t>
            </w:r>
          </w:p>
        </w:tc>
        <w:tc>
          <w:tcPr>
            <w:tcW w:w="194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16.8 %</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74,002</w:t>
            </w:r>
          </w:p>
        </w:tc>
        <w:tc>
          <w:tcPr>
            <w:tcW w:w="182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16.9 %</w:t>
            </w:r>
          </w:p>
        </w:tc>
        <w:tc>
          <w:tcPr>
            <w:tcW w:w="0" w:type="dxa"/>
            <w:vAlign w:val="bottom"/>
          </w:tcPr>
          <w:p>
            <w:pPr>
              <w:spacing w:after="0"/>
              <w:rPr>
                <w:sz w:val="1"/>
                <w:szCs w:val="1"/>
                <w:color w:val="auto"/>
              </w:rPr>
            </w:pPr>
          </w:p>
        </w:tc>
      </w:tr>
      <w:tr>
        <w:trPr>
          <w:trHeight w:val="180"/>
        </w:trPr>
        <w:tc>
          <w:tcPr>
            <w:tcW w:w="40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California</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46,401</w:t>
            </w:r>
          </w:p>
        </w:tc>
        <w:tc>
          <w:tcPr>
            <w:tcW w:w="19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9.9 %</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42,630</w:t>
            </w:r>
          </w:p>
        </w:tc>
        <w:tc>
          <w:tcPr>
            <w:tcW w:w="182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180"/>
        </w:trPr>
        <w:tc>
          <w:tcPr>
            <w:tcW w:w="40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Minnesota</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45,168</w:t>
            </w:r>
          </w:p>
        </w:tc>
        <w:tc>
          <w:tcPr>
            <w:tcW w:w="194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9.7 %</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43,784</w:t>
            </w:r>
          </w:p>
        </w:tc>
        <w:tc>
          <w:tcPr>
            <w:tcW w:w="182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180"/>
        </w:trPr>
        <w:tc>
          <w:tcPr>
            <w:tcW w:w="40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Ohio</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29,820</w:t>
            </w:r>
          </w:p>
        </w:tc>
        <w:tc>
          <w:tcPr>
            <w:tcW w:w="19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6.4 %</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27,498</w:t>
            </w:r>
          </w:p>
        </w:tc>
        <w:tc>
          <w:tcPr>
            <w:tcW w:w="182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180"/>
        </w:trPr>
        <w:tc>
          <w:tcPr>
            <w:tcW w:w="40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Washington</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28,619</w:t>
            </w:r>
          </w:p>
        </w:tc>
        <w:tc>
          <w:tcPr>
            <w:tcW w:w="194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6.1 %</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25,306</w:t>
            </w:r>
          </w:p>
        </w:tc>
        <w:tc>
          <w:tcPr>
            <w:tcW w:w="182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180"/>
        </w:trPr>
        <w:tc>
          <w:tcPr>
            <w:tcW w:w="40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Massachusetts</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26,364</w:t>
            </w:r>
          </w:p>
        </w:tc>
        <w:tc>
          <w:tcPr>
            <w:tcW w:w="19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5.6 %</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25,463</w:t>
            </w:r>
          </w:p>
        </w:tc>
        <w:tc>
          <w:tcPr>
            <w:tcW w:w="182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180"/>
        </w:trPr>
        <w:tc>
          <w:tcPr>
            <w:tcW w:w="40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All other states (27 states)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213,154</w:t>
            </w:r>
          </w:p>
        </w:tc>
        <w:tc>
          <w:tcPr>
            <w:tcW w:w="194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45.5 %</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199,122</w:t>
            </w:r>
          </w:p>
        </w:tc>
        <w:tc>
          <w:tcPr>
            <w:tcW w:w="182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45.5 %</w:t>
            </w:r>
          </w:p>
        </w:tc>
        <w:tc>
          <w:tcPr>
            <w:tcW w:w="0" w:type="dxa"/>
            <w:vAlign w:val="bottom"/>
          </w:tcPr>
          <w:p>
            <w:pPr>
              <w:spacing w:after="0"/>
              <w:rPr>
                <w:sz w:val="1"/>
                <w:szCs w:val="1"/>
                <w:color w:val="auto"/>
              </w:rPr>
            </w:pPr>
          </w:p>
        </w:tc>
      </w:tr>
      <w:tr>
        <w:trPr>
          <w:trHeight w:val="180"/>
        </w:trPr>
        <w:tc>
          <w:tcPr>
            <w:tcW w:w="4000" w:type="dxa"/>
            <w:vAlign w:val="bottom"/>
          </w:tcPr>
          <w:p>
            <w:pPr>
              <w:ind w:left="34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467,971</w:t>
            </w:r>
          </w:p>
        </w:tc>
        <w:tc>
          <w:tcPr>
            <w:tcW w:w="1940" w:type="dxa"/>
            <w:vAlign w:val="bottom"/>
            <w:gridSpan w:val="3"/>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220" w:type="dxa"/>
            <w:vAlign w:val="bottom"/>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437,805</w:t>
            </w:r>
          </w:p>
        </w:tc>
        <w:tc>
          <w:tcPr>
            <w:tcW w:w="1820" w:type="dxa"/>
            <w:vAlign w:val="bottom"/>
            <w:gridSpan w:val="3"/>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40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5" w:name="page56"/>
    <w:bookmarkEnd w:id="55"/>
    <w:p>
      <w:pPr>
        <w:spacing w:after="0" w:line="137" w:lineRule="exact"/>
        <w:rPr>
          <w:sz w:val="20"/>
          <w:szCs w:val="20"/>
          <w:color w:val="auto"/>
        </w:rPr>
      </w:pPr>
    </w:p>
    <w:p>
      <w:pPr>
        <w:ind w:right="440" w:firstLine="600"/>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Company’s available-for-sale investment securities, by investment category, in an unrealized loss position for which an allowance for credit losses has not been recorded as of December 31, 2024 and December 31,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8"/>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7"/>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8"/>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12 Months or Longer</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80"/>
              </w:rPr>
              <w:t>Total</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Gross</w:t>
            </w:r>
          </w:p>
        </w:tc>
      </w:tr>
      <w:tr>
        <w:trPr>
          <w:trHeight w:val="156"/>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56"/>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3"/>
                <w:szCs w:val="13"/>
                <w:color w:val="auto"/>
              </w:rPr>
            </w:pP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Holding Losses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3"/>
                <w:szCs w:val="13"/>
                <w:color w:val="auto"/>
              </w:rPr>
            </w:pPr>
          </w:p>
        </w:tc>
        <w:tc>
          <w:tcPr>
            <w:tcW w:w="11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Holding Losses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3"/>
                <w:szCs w:val="13"/>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Holding Losses</w:t>
            </w:r>
          </w:p>
        </w:tc>
      </w:tr>
      <w:tr>
        <w:trPr>
          <w:trHeight w:val="170"/>
        </w:trPr>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8"/>
          </w:tcPr>
          <w:p>
            <w:pPr>
              <w:jc w:val="right"/>
              <w:ind w:right="6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available-for-sale:</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3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204,428</w:t>
            </w:r>
          </w:p>
        </w:tc>
        <w:tc>
          <w:tcPr>
            <w:tcW w:w="20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(700)</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1,757,066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(325,677)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1,961,494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(326,377)</w:t>
            </w:r>
          </w:p>
        </w:tc>
      </w:tr>
      <w:tr>
        <w:trPr>
          <w:trHeight w:val="156"/>
        </w:trPr>
        <w:tc>
          <w:tcPr>
            <w:tcW w:w="3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tcBorders>
              <w:right w:val="single" w:sz="8" w:color="CFF0FC"/>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351,521</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(120,399)</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351,522</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(120,399)</w:t>
            </w:r>
          </w:p>
        </w:tc>
      </w:tr>
      <w:tr>
        <w:trPr>
          <w:trHeight w:val="156"/>
        </w:trPr>
        <w:tc>
          <w:tcPr>
            <w:tcW w:w="3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Municipal bonds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3,215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(155)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16,262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19,477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(1,405)</w:t>
            </w:r>
          </w:p>
        </w:tc>
      </w:tr>
      <w:tr>
        <w:trPr>
          <w:trHeight w:val="196"/>
        </w:trPr>
        <w:tc>
          <w:tcPr>
            <w:tcW w:w="3080" w:type="dxa"/>
            <w:vAlign w:val="bottom"/>
            <w:shd w:val="clear" w:color="auto" w:fill="CFF0FC"/>
          </w:tcPr>
          <w:p>
            <w:pPr>
              <w:ind w:left="340"/>
              <w:spacing w:after="0" w:line="136" w:lineRule="exact"/>
              <w:rPr>
                <w:sz w:val="20"/>
                <w:szCs w:val="20"/>
                <w:color w:val="auto"/>
              </w:rPr>
            </w:pPr>
            <w:r>
              <w:rPr>
                <w:rFonts w:ascii="Times New Roman" w:cs="Times New Roman" w:eastAsia="Times New Roman" w:hAnsi="Times New Roman"/>
                <w:sz w:val="13"/>
                <w:szCs w:val="13"/>
                <w:color w:val="auto"/>
              </w:rPr>
              <w:t>Total available-for-sale securities</w:t>
            </w:r>
          </w:p>
        </w:tc>
        <w:tc>
          <w:tcPr>
            <w:tcW w:w="38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CFF0FC"/>
            </w:tcBorders>
            <w:gridSpan w:val="2"/>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207,644</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9"/>
                <w:szCs w:val="9"/>
                <w:color w:val="auto"/>
              </w:rPr>
              <w:t>(855</w:t>
            </w:r>
            <w:r>
              <w:rPr>
                <w:rFonts w:ascii="Times New Roman" w:cs="Times New Roman" w:eastAsia="Times New Roman" w:hAnsi="Times New Roman"/>
                <w:sz w:val="15"/>
                <w:szCs w:val="15"/>
                <w:color w:val="auto"/>
                <w:vertAlign w:val="subscript"/>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2,124,849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3"/>
            <w:shd w:val="clear" w:color="auto" w:fill="CFF0FC"/>
          </w:tcPr>
          <w:p>
            <w:pPr>
              <w:jc w:val="right"/>
              <w:ind w:right="60"/>
              <w:spacing w:after="0" w:line="136" w:lineRule="exact"/>
              <w:rPr>
                <w:sz w:val="20"/>
                <w:szCs w:val="20"/>
                <w:color w:val="auto"/>
              </w:rPr>
            </w:pPr>
            <w:r>
              <w:rPr>
                <w:rFonts w:ascii="Times New Roman" w:cs="Times New Roman" w:eastAsia="Times New Roman" w:hAnsi="Times New Roman"/>
                <w:sz w:val="9"/>
                <w:szCs w:val="9"/>
                <w:color w:val="auto"/>
              </w:rPr>
              <w:t>(447,326</w:t>
            </w:r>
            <w:r>
              <w:rPr>
                <w:rFonts w:ascii="Times New Roman" w:cs="Times New Roman" w:eastAsia="Times New Roman" w:hAnsi="Times New Roman"/>
                <w:sz w:val="15"/>
                <w:szCs w:val="15"/>
                <w:color w:val="auto"/>
                <w:vertAlign w:val="subscript"/>
              </w:rPr>
              <w:t>)</w:t>
            </w:r>
          </w:p>
        </w:tc>
        <w:tc>
          <w:tcPr>
            <w:tcW w:w="240" w:type="dxa"/>
            <w:vAlign w:val="bottom"/>
            <w:gridSpan w:val="2"/>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2,332,493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(448,181</w:t>
            </w:r>
            <w:r>
              <w:rPr>
                <w:rFonts w:ascii="Times New Roman" w:cs="Times New Roman" w:eastAsia="Times New Roman" w:hAnsi="Times New Roman"/>
                <w:sz w:val="15"/>
                <w:szCs w:val="15"/>
                <w:color w:val="auto"/>
                <w:vertAlign w:val="subscript"/>
              </w:rPr>
              <w:t>)</w:t>
            </w:r>
          </w:p>
        </w:tc>
      </w:tr>
      <w:tr>
        <w:trPr>
          <w:trHeight w:val="132"/>
        </w:trPr>
        <w:tc>
          <w:tcPr>
            <w:tcW w:w="3080" w:type="dxa"/>
            <w:vAlign w:val="bottom"/>
            <w:tcBorders>
              <w:top w:val="single" w:sz="8" w:color="CFF0FC"/>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Investment securities held-to-maturity:</w:t>
            </w: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r>
      <w:tr>
        <w:trPr>
          <w:trHeight w:val="156"/>
        </w:trPr>
        <w:tc>
          <w:tcPr>
            <w:tcW w:w="3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Government agency/GSE</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408,257</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(106,315)</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408,257</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(106,315)</w:t>
            </w:r>
          </w:p>
        </w:tc>
      </w:tr>
      <w:tr>
        <w:trPr>
          <w:trHeight w:val="228"/>
        </w:trPr>
        <w:tc>
          <w:tcPr>
            <w:tcW w:w="3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2,072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0"/>
              <w:spacing w:after="0" w:line="228" w:lineRule="exact"/>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26"/>
                <w:szCs w:val="26"/>
                <w:color w:val="auto"/>
                <w:vertAlign w:val="subscript"/>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502,292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(109,978)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504,364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(110,020)</w:t>
            </w:r>
          </w:p>
        </w:tc>
      </w:tr>
      <w:tr>
        <w:trPr>
          <w:trHeight w:val="156"/>
        </w:trPr>
        <w:tc>
          <w:tcPr>
            <w:tcW w:w="3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613,937</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(170,121)</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613,937</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(170,121)</w:t>
            </w:r>
          </w:p>
        </w:tc>
      </w:tr>
      <w:tr>
        <w:trPr>
          <w:trHeight w:val="156"/>
        </w:trPr>
        <w:tc>
          <w:tcPr>
            <w:tcW w:w="3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Municipal bonds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63,668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(1,067)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286,868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(38,958)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350,536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(40,025)</w:t>
            </w:r>
          </w:p>
        </w:tc>
      </w:tr>
      <w:tr>
        <w:trPr>
          <w:trHeight w:val="176"/>
        </w:trPr>
        <w:tc>
          <w:tcPr>
            <w:tcW w:w="3080" w:type="dxa"/>
            <w:vAlign w:val="bottom"/>
            <w:shd w:val="clear" w:color="auto" w:fill="CFF0FC"/>
          </w:tcPr>
          <w:p>
            <w:pPr>
              <w:ind w:left="340"/>
              <w:spacing w:after="0" w:line="136" w:lineRule="exact"/>
              <w:rPr>
                <w:sz w:val="20"/>
                <w:szCs w:val="20"/>
                <w:color w:val="auto"/>
              </w:rPr>
            </w:pPr>
            <w:r>
              <w:rPr>
                <w:rFonts w:ascii="Times New Roman" w:cs="Times New Roman" w:eastAsia="Times New Roman" w:hAnsi="Times New Roman"/>
                <w:sz w:val="13"/>
                <w:szCs w:val="13"/>
                <w:color w:val="auto"/>
              </w:rPr>
              <w:t>Total held-to-maturity securities</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right w:val="single" w:sz="8" w:color="CFF0FC"/>
            </w:tcBorders>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65,740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9"/>
                <w:szCs w:val="9"/>
                <w:color w:val="auto"/>
              </w:rPr>
              <w:t>(1,109</w:t>
            </w:r>
            <w:r>
              <w:rPr>
                <w:rFonts w:ascii="Times New Roman" w:cs="Times New Roman" w:eastAsia="Times New Roman" w:hAnsi="Times New Roman"/>
                <w:sz w:val="15"/>
                <w:szCs w:val="15"/>
                <w:color w:val="auto"/>
                <w:vertAlign w:val="subscript"/>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1,811,354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3"/>
            <w:shd w:val="clear" w:color="auto" w:fill="CFF0FC"/>
          </w:tcPr>
          <w:p>
            <w:pPr>
              <w:jc w:val="right"/>
              <w:ind w:right="60"/>
              <w:spacing w:after="0" w:line="136" w:lineRule="exact"/>
              <w:rPr>
                <w:sz w:val="20"/>
                <w:szCs w:val="20"/>
                <w:color w:val="auto"/>
              </w:rPr>
            </w:pPr>
            <w:r>
              <w:rPr>
                <w:rFonts w:ascii="Times New Roman" w:cs="Times New Roman" w:eastAsia="Times New Roman" w:hAnsi="Times New Roman"/>
                <w:sz w:val="9"/>
                <w:szCs w:val="9"/>
                <w:color w:val="auto"/>
              </w:rPr>
              <w:t>(425,372</w:t>
            </w:r>
            <w:r>
              <w:rPr>
                <w:rFonts w:ascii="Times New Roman" w:cs="Times New Roman" w:eastAsia="Times New Roman" w:hAnsi="Times New Roman"/>
                <w:sz w:val="15"/>
                <w:szCs w:val="15"/>
                <w:color w:val="auto"/>
                <w:vertAlign w:val="subscript"/>
              </w:rPr>
              <w:t>)</w:t>
            </w:r>
          </w:p>
        </w:tc>
        <w:tc>
          <w:tcPr>
            <w:tcW w:w="240" w:type="dxa"/>
            <w:vAlign w:val="bottom"/>
            <w:gridSpan w:val="2"/>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1,877,094</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(426,481</w:t>
            </w:r>
            <w:r>
              <w:rPr>
                <w:rFonts w:ascii="Times New Roman" w:cs="Times New Roman" w:eastAsia="Times New Roman" w:hAnsi="Times New Roman"/>
                <w:sz w:val="15"/>
                <w:szCs w:val="15"/>
                <w:color w:val="auto"/>
                <w:vertAlign w:val="subscript"/>
              </w:rPr>
              <w:t>)</w:t>
            </w: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23"/>
        </w:trPr>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8"/>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7"/>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8"/>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12 Months or Longer</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Gross</w:t>
            </w:r>
          </w:p>
        </w:tc>
      </w:tr>
      <w:tr>
        <w:trPr>
          <w:trHeight w:val="156"/>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4"/>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r>
      <w:tr>
        <w:trPr>
          <w:trHeight w:val="156"/>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8"/>
              </w:rPr>
              <w:t>Holding</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Holding</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Holding</w:t>
            </w:r>
          </w:p>
        </w:tc>
      </w:tr>
      <w:tr>
        <w:trPr>
          <w:trHeight w:val="156"/>
        </w:trPr>
        <w:tc>
          <w:tcPr>
            <w:tcW w:w="3080" w:type="dxa"/>
            <w:vAlign w:val="bottom"/>
          </w:tcPr>
          <w:p>
            <w:pPr>
              <w:spacing w:after="0"/>
              <w:rPr>
                <w:sz w:val="13"/>
                <w:szCs w:val="13"/>
                <w:color w:val="auto"/>
              </w:rPr>
            </w:pPr>
          </w:p>
        </w:tc>
        <w:tc>
          <w:tcPr>
            <w:tcW w:w="1280" w:type="dxa"/>
            <w:vAlign w:val="bottom"/>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00" w:type="dxa"/>
            <w:vAlign w:val="bottom"/>
          </w:tcPr>
          <w:p>
            <w:pPr>
              <w:spacing w:after="0"/>
              <w:rPr>
                <w:sz w:val="13"/>
                <w:szCs w:val="13"/>
                <w:color w:val="auto"/>
              </w:rPr>
            </w:pPr>
          </w:p>
        </w:tc>
        <w:tc>
          <w:tcPr>
            <w:tcW w:w="1080" w:type="dxa"/>
            <w:vAlign w:val="bottom"/>
            <w:gridSpan w:val="4"/>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Losses</w:t>
            </w:r>
          </w:p>
        </w:tc>
      </w:tr>
      <w:tr>
        <w:trPr>
          <w:trHeight w:val="170"/>
        </w:trPr>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8"/>
          </w:tcPr>
          <w:p>
            <w:pPr>
              <w:jc w:val="center"/>
              <w:ind w:right="5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available-for-sale:</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3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Government agency/GSE</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9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104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2,506,162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(336,107 )</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2,506,210</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(336,107 )</w:t>
            </w:r>
          </w:p>
        </w:tc>
      </w:tr>
      <w:tr>
        <w:trPr>
          <w:trHeight w:val="156"/>
        </w:trPr>
        <w:tc>
          <w:tcPr>
            <w:tcW w:w="3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CMO/REMIC</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389,359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(112,872 )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389,359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(112,872 )</w:t>
            </w:r>
          </w:p>
        </w:tc>
      </w:tr>
      <w:tr>
        <w:trPr>
          <w:trHeight w:val="156"/>
        </w:trPr>
        <w:tc>
          <w:tcPr>
            <w:tcW w:w="3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Municipal bonds</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3,286</w:t>
            </w:r>
          </w:p>
        </w:tc>
        <w:tc>
          <w:tcPr>
            <w:tcW w:w="2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(17 )</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18,105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(871 )</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21,391</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(888 )</w:t>
            </w:r>
          </w:p>
        </w:tc>
      </w:tr>
      <w:tr>
        <w:trPr>
          <w:trHeight w:val="156"/>
        </w:trPr>
        <w:tc>
          <w:tcPr>
            <w:tcW w:w="308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Total available-for-sale securities</w:t>
            </w:r>
          </w:p>
        </w:tc>
        <w:tc>
          <w:tcPr>
            <w:tcW w:w="240" w:type="dxa"/>
            <w:vAlign w:val="bottom"/>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3,334</w:t>
            </w:r>
          </w:p>
        </w:tc>
        <w:tc>
          <w:tcPr>
            <w:tcW w:w="2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900" w:type="dxa"/>
            <w:vAlign w:val="bottom"/>
            <w:gridSpan w:val="2"/>
          </w:tcPr>
          <w:p>
            <w:pPr>
              <w:jc w:val="right"/>
              <w:ind w:right="14"/>
              <w:spacing w:after="0" w:line="136" w:lineRule="exact"/>
              <w:rPr>
                <w:sz w:val="20"/>
                <w:szCs w:val="20"/>
                <w:color w:val="auto"/>
              </w:rPr>
            </w:pPr>
            <w:r>
              <w:rPr>
                <w:rFonts w:ascii="Times New Roman" w:cs="Times New Roman" w:eastAsia="Times New Roman" w:hAnsi="Times New Roman"/>
                <w:sz w:val="9"/>
                <w:szCs w:val="9"/>
                <w:color w:val="auto"/>
              </w:rPr>
              <w:t xml:space="preserve">(17 </w:t>
            </w:r>
            <w:r>
              <w:rPr>
                <w:rFonts w:ascii="Times New Roman" w:cs="Times New Roman" w:eastAsia="Times New Roman" w:hAnsi="Times New Roman"/>
                <w:sz w:val="15"/>
                <w:szCs w:val="15"/>
                <w:color w:val="auto"/>
                <w:vertAlign w:val="subscript"/>
              </w:rPr>
              <w:t>)</w:t>
            </w:r>
          </w:p>
        </w:tc>
        <w:tc>
          <w:tcPr>
            <w:tcW w:w="80" w:type="dxa"/>
            <w:vAlign w:val="bottom"/>
          </w:tcPr>
          <w:p>
            <w:pPr>
              <w:spacing w:after="0"/>
              <w:rPr>
                <w:sz w:val="13"/>
                <w:szCs w:val="13"/>
                <w:color w:val="auto"/>
              </w:rPr>
            </w:pPr>
          </w:p>
        </w:tc>
        <w:tc>
          <w:tcPr>
            <w:tcW w:w="20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2,913,626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jc w:val="center"/>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(449,850 </w:t>
            </w:r>
            <w:r>
              <w:rPr>
                <w:rFonts w:ascii="Times New Roman" w:cs="Times New Roman" w:eastAsia="Times New Roman" w:hAnsi="Times New Roman"/>
                <w:sz w:val="15"/>
                <w:szCs w:val="15"/>
                <w:color w:val="auto"/>
                <w:vertAlign w:val="subscript"/>
              </w:rPr>
              <w:t>)</w:t>
            </w:r>
          </w:p>
        </w:tc>
        <w:tc>
          <w:tcPr>
            <w:tcW w:w="120" w:type="dxa"/>
            <w:vAlign w:val="bottom"/>
          </w:tcPr>
          <w:p>
            <w:pPr>
              <w:spacing w:after="0"/>
              <w:rPr>
                <w:sz w:val="13"/>
                <w:szCs w:val="13"/>
                <w:color w:val="auto"/>
              </w:rPr>
            </w:pPr>
          </w:p>
        </w:tc>
        <w:tc>
          <w:tcPr>
            <w:tcW w:w="16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2,916,960</w:t>
            </w:r>
          </w:p>
        </w:tc>
        <w:tc>
          <w:tcPr>
            <w:tcW w:w="160" w:type="dxa"/>
            <w:vAlign w:val="bottom"/>
          </w:tcPr>
          <w:p>
            <w:pPr>
              <w:spacing w:after="0"/>
              <w:rPr>
                <w:sz w:val="13"/>
                <w:szCs w:val="13"/>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9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(449,867 </w:t>
            </w:r>
            <w:r>
              <w:rPr>
                <w:rFonts w:ascii="Times New Roman" w:cs="Times New Roman" w:eastAsia="Times New Roman" w:hAnsi="Times New Roman"/>
                <w:sz w:val="15"/>
                <w:szCs w:val="15"/>
                <w:color w:val="auto"/>
                <w:vertAlign w:val="subscript"/>
              </w:rPr>
              <w:t>)</w:t>
            </w:r>
          </w:p>
        </w:tc>
      </w:tr>
      <w:tr>
        <w:trPr>
          <w:trHeight w:val="20"/>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30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Investment securities held-to-maturity:</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56"/>
        </w:trPr>
        <w:tc>
          <w:tcPr>
            <w:tcW w:w="3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Government agency/GSE</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9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432,684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(97,972 )</w:t>
            </w:r>
          </w:p>
        </w:tc>
        <w:tc>
          <w:tcPr>
            <w:tcW w:w="12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432,684</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(97,972 )</w:t>
            </w:r>
          </w:p>
        </w:tc>
      </w:tr>
      <w:tr>
        <w:trPr>
          <w:trHeight w:val="156"/>
        </w:trPr>
        <w:tc>
          <w:tcPr>
            <w:tcW w:w="3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tcBorders>
              <w:right w:val="single" w:sz="8" w:color="CFF0FC"/>
            </w:tcBorders>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565,655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(97,436 )</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565,655</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(97,436 )</w:t>
            </w:r>
          </w:p>
        </w:tc>
      </w:tr>
      <w:tr>
        <w:trPr>
          <w:trHeight w:val="156"/>
        </w:trPr>
        <w:tc>
          <w:tcPr>
            <w:tcW w:w="3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646,737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(156,155 )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646,737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(156,155 )</w:t>
            </w:r>
          </w:p>
        </w:tc>
      </w:tr>
      <w:tr>
        <w:trPr>
          <w:trHeight w:val="156"/>
        </w:trPr>
        <w:tc>
          <w:tcPr>
            <w:tcW w:w="3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Municipal bonds</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20,609</w:t>
            </w:r>
          </w:p>
        </w:tc>
        <w:tc>
          <w:tcPr>
            <w:tcW w:w="2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(200 )</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293,467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(33,404 )</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314,076</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(33,604 )</w:t>
            </w:r>
          </w:p>
        </w:tc>
      </w:tr>
      <w:tr>
        <w:trPr>
          <w:trHeight w:val="156"/>
        </w:trPr>
        <w:tc>
          <w:tcPr>
            <w:tcW w:w="3080" w:type="dxa"/>
            <w:vAlign w:val="bottom"/>
          </w:tcPr>
          <w:p>
            <w:pPr>
              <w:ind w:left="400"/>
              <w:spacing w:after="0" w:line="136" w:lineRule="exact"/>
              <w:rPr>
                <w:sz w:val="20"/>
                <w:szCs w:val="20"/>
                <w:color w:val="auto"/>
              </w:rPr>
            </w:pPr>
            <w:r>
              <w:rPr>
                <w:rFonts w:ascii="Times New Roman" w:cs="Times New Roman" w:eastAsia="Times New Roman" w:hAnsi="Times New Roman"/>
                <w:sz w:val="13"/>
                <w:szCs w:val="13"/>
                <w:color w:val="auto"/>
              </w:rPr>
              <w:t>Total held-to-maturity securities</w:t>
            </w:r>
          </w:p>
        </w:tc>
        <w:tc>
          <w:tcPr>
            <w:tcW w:w="240" w:type="dxa"/>
            <w:vAlign w:val="bottom"/>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20,609</w:t>
            </w:r>
          </w:p>
        </w:tc>
        <w:tc>
          <w:tcPr>
            <w:tcW w:w="2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900" w:type="dxa"/>
            <w:vAlign w:val="bottom"/>
            <w:gridSpan w:val="2"/>
          </w:tcPr>
          <w:p>
            <w:pPr>
              <w:jc w:val="right"/>
              <w:ind w:right="14"/>
              <w:spacing w:after="0" w:line="136" w:lineRule="exact"/>
              <w:rPr>
                <w:sz w:val="20"/>
                <w:szCs w:val="20"/>
                <w:color w:val="auto"/>
              </w:rPr>
            </w:pPr>
            <w:r>
              <w:rPr>
                <w:rFonts w:ascii="Times New Roman" w:cs="Times New Roman" w:eastAsia="Times New Roman" w:hAnsi="Times New Roman"/>
                <w:sz w:val="9"/>
                <w:szCs w:val="9"/>
                <w:color w:val="auto"/>
              </w:rPr>
              <w:t xml:space="preserve">(200 </w:t>
            </w:r>
            <w:r>
              <w:rPr>
                <w:rFonts w:ascii="Times New Roman" w:cs="Times New Roman" w:eastAsia="Times New Roman" w:hAnsi="Times New Roman"/>
                <w:sz w:val="15"/>
                <w:szCs w:val="15"/>
                <w:color w:val="auto"/>
                <w:vertAlign w:val="subscript"/>
              </w:rPr>
              <w:t>)</w:t>
            </w:r>
          </w:p>
        </w:tc>
        <w:tc>
          <w:tcPr>
            <w:tcW w:w="80" w:type="dxa"/>
            <w:vAlign w:val="bottom"/>
          </w:tcPr>
          <w:p>
            <w:pPr>
              <w:spacing w:after="0"/>
              <w:rPr>
                <w:sz w:val="13"/>
                <w:szCs w:val="13"/>
                <w:color w:val="auto"/>
              </w:rPr>
            </w:pPr>
          </w:p>
        </w:tc>
        <w:tc>
          <w:tcPr>
            <w:tcW w:w="20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1,938,543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jc w:val="center"/>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(384,967 </w:t>
            </w:r>
            <w:r>
              <w:rPr>
                <w:rFonts w:ascii="Times New Roman" w:cs="Times New Roman" w:eastAsia="Times New Roman" w:hAnsi="Times New Roman"/>
                <w:sz w:val="15"/>
                <w:szCs w:val="15"/>
                <w:color w:val="auto"/>
                <w:vertAlign w:val="subscript"/>
              </w:rPr>
              <w:t>)</w:t>
            </w:r>
          </w:p>
        </w:tc>
        <w:tc>
          <w:tcPr>
            <w:tcW w:w="120" w:type="dxa"/>
            <w:vAlign w:val="bottom"/>
          </w:tcPr>
          <w:p>
            <w:pPr>
              <w:spacing w:after="0"/>
              <w:rPr>
                <w:sz w:val="13"/>
                <w:szCs w:val="13"/>
                <w:color w:val="auto"/>
              </w:rPr>
            </w:pPr>
          </w:p>
        </w:tc>
        <w:tc>
          <w:tcPr>
            <w:tcW w:w="16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1,959,152</w:t>
            </w:r>
          </w:p>
        </w:tc>
        <w:tc>
          <w:tcPr>
            <w:tcW w:w="160" w:type="dxa"/>
            <w:vAlign w:val="bottom"/>
          </w:tcPr>
          <w:p>
            <w:pPr>
              <w:spacing w:after="0"/>
              <w:rPr>
                <w:sz w:val="13"/>
                <w:szCs w:val="13"/>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9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(385,167 </w:t>
            </w:r>
            <w:r>
              <w:rPr>
                <w:rFonts w:ascii="Times New Roman" w:cs="Times New Roman" w:eastAsia="Times New Roman" w:hAnsi="Times New Roman"/>
                <w:sz w:val="15"/>
                <w:szCs w:val="15"/>
                <w:color w:val="auto"/>
                <w:vertAlign w:val="subscript"/>
              </w:rPr>
              <w:t>)</w:t>
            </w:r>
          </w:p>
        </w:tc>
      </w:tr>
      <w:tr>
        <w:trPr>
          <w:trHeight w:val="20"/>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Once it is determined that a credit loss has occurred, an allowance for credit losses is established on our available-for-sale and held-to-maturity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 determined that credit losses did not exist for securities in an unrealized loss position as of December 31, 2024 and 2023.</w:t>
      </w:r>
    </w:p>
    <w:p>
      <w:pPr>
        <w:spacing w:after="0" w:line="156" w:lineRule="exact"/>
        <w:rPr>
          <w:sz w:val="20"/>
          <w:szCs w:val="20"/>
          <w:color w:val="auto"/>
        </w:rPr>
      </w:pPr>
    </w:p>
    <w:p>
      <w:pPr>
        <w:ind w:right="580" w:firstLine="600"/>
        <w:spacing w:after="0" w:line="262" w:lineRule="auto"/>
        <w:rPr>
          <w:sz w:val="20"/>
          <w:szCs w:val="20"/>
          <w:color w:val="auto"/>
        </w:rPr>
      </w:pPr>
      <w:r>
        <w:rPr>
          <w:rFonts w:ascii="Times New Roman" w:cs="Times New Roman" w:eastAsia="Times New Roman" w:hAnsi="Times New Roman"/>
          <w:sz w:val="16"/>
          <w:szCs w:val="16"/>
          <w:color w:val="auto"/>
        </w:rPr>
        <w:t xml:space="preserve">Refer to Note 4 – </w:t>
      </w:r>
      <w:r>
        <w:rPr>
          <w:rFonts w:ascii="Times New Roman" w:cs="Times New Roman" w:eastAsia="Times New Roman" w:hAnsi="Times New Roman"/>
          <w:sz w:val="16"/>
          <w:szCs w:val="16"/>
          <w:i w:val="1"/>
          <w:iCs w:val="1"/>
          <w:color w:val="auto"/>
        </w:rPr>
        <w:t>Investment Securities</w:t>
      </w:r>
      <w:r>
        <w:rPr>
          <w:rFonts w:ascii="Times New Roman" w:cs="Times New Roman" w:eastAsia="Times New Roman" w:hAnsi="Times New Roman"/>
          <w:sz w:val="16"/>
          <w:szCs w:val="16"/>
          <w:color w:val="auto"/>
        </w:rPr>
        <w:t xml:space="preserve"> of the notes to the consolidated financial statements of this report for additional information on our investment securities portfolio.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Loans</w:t>
      </w:r>
    </w:p>
    <w:p>
      <w:pPr>
        <w:spacing w:after="0" w:line="156" w:lineRule="exact"/>
        <w:rPr>
          <w:sz w:val="20"/>
          <w:szCs w:val="20"/>
          <w:color w:val="auto"/>
        </w:rPr>
      </w:pPr>
    </w:p>
    <w:p>
      <w:pPr>
        <w:ind w:right="200" w:firstLine="600"/>
        <w:spacing w:after="0" w:line="247" w:lineRule="auto"/>
        <w:rPr>
          <w:sz w:val="20"/>
          <w:szCs w:val="20"/>
          <w:color w:val="auto"/>
        </w:rPr>
      </w:pPr>
      <w:r>
        <w:rPr>
          <w:rFonts w:ascii="Times New Roman" w:cs="Times New Roman" w:eastAsia="Times New Roman" w:hAnsi="Times New Roman"/>
          <w:sz w:val="16"/>
          <w:szCs w:val="16"/>
          <w:color w:val="auto"/>
        </w:rPr>
        <w:t>Total loans and leases, at amortized cost, of $8.54 billion at December 31, 2024, decreased by $368.5 million, or 4.14%, from $8.90 billion at December 31, 2023. Loan growth continues to be impacted by a slowdown in loan demand. The $368.5 million decrease included $277.1 million in commercial real estate loans, $50.7 million in construction loans and $44.7 million in commercial and industrial loans.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6" w:name="page57"/>
    <w:bookmarkEnd w:id="56"/>
    <w:p>
      <w:pPr>
        <w:spacing w:after="0" w:line="137" w:lineRule="exact"/>
        <w:rPr>
          <w:sz w:val="20"/>
          <w:szCs w:val="20"/>
          <w:color w:val="auto"/>
        </w:rPr>
      </w:pPr>
    </w:p>
    <w:p>
      <w:pPr>
        <w:ind w:right="140" w:firstLine="600"/>
        <w:spacing w:after="0" w:line="259" w:lineRule="auto"/>
        <w:rPr>
          <w:sz w:val="20"/>
          <w:szCs w:val="20"/>
          <w:color w:val="auto"/>
        </w:rPr>
      </w:pPr>
      <w:r>
        <w:rPr>
          <w:rFonts w:ascii="Times New Roman" w:cs="Times New Roman" w:eastAsia="Times New Roman" w:hAnsi="Times New Roman"/>
          <w:sz w:val="16"/>
          <w:szCs w:val="16"/>
          <w:color w:val="auto"/>
        </w:rPr>
        <w:t>Total loans, at amortized cost, comprised 63.10% of our total earning assets as of December 31, 2024. The following table presents our loan portfolio by type as of the dates presented.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Distribution of Loan Portfolio by Type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3"/>
                <w:szCs w:val="13"/>
                <w:color w:val="auto"/>
              </w:rPr>
            </w:pPr>
          </w:p>
        </w:tc>
      </w:tr>
      <w:tr>
        <w:trPr>
          <w:trHeight w:val="170"/>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6,507,452</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6,784,505</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6,884,948</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5,789,730</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5,501,509</w:t>
            </w:r>
          </w:p>
        </w:tc>
        <w:tc>
          <w:tcPr>
            <w:tcW w:w="80" w:type="dxa"/>
            <w:vAlign w:val="bottom"/>
            <w:shd w:val="clear" w:color="auto" w:fill="CFF0FC"/>
          </w:tcPr>
          <w:p>
            <w:pPr>
              <w:spacing w:after="0"/>
              <w:rPr>
                <w:sz w:val="13"/>
                <w:szCs w:val="13"/>
                <w:color w:val="auto"/>
              </w:rPr>
            </w:pPr>
          </w:p>
        </w:tc>
      </w:tr>
      <w:tr>
        <w:trPr>
          <w:trHeight w:val="15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26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16,082</w:t>
            </w:r>
          </w:p>
        </w:tc>
        <w:tc>
          <w:tcPr>
            <w:tcW w:w="2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66,734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88,271</w:t>
            </w:r>
          </w:p>
        </w:tc>
        <w:tc>
          <w:tcPr>
            <w:tcW w:w="2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62,264</w:t>
            </w:r>
          </w:p>
        </w:tc>
        <w:tc>
          <w:tcPr>
            <w:tcW w:w="2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85,145</w:t>
            </w:r>
          </w:p>
        </w:tc>
      </w:tr>
      <w:tr>
        <w:trPr>
          <w:trHeight w:val="15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273,013</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270,619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290,908</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288,600</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303,896</w:t>
            </w:r>
          </w:p>
        </w:tc>
        <w:tc>
          <w:tcPr>
            <w:tcW w:w="80" w:type="dxa"/>
            <w:vAlign w:val="bottom"/>
            <w:shd w:val="clear" w:color="auto" w:fill="CFF0FC"/>
          </w:tcPr>
          <w:p>
            <w:pPr>
              <w:spacing w:after="0"/>
              <w:rPr>
                <w:sz w:val="13"/>
                <w:szCs w:val="13"/>
                <w:color w:val="auto"/>
              </w:rPr>
            </w:pPr>
          </w:p>
        </w:tc>
      </w:tr>
      <w:tr>
        <w:trPr>
          <w:trHeight w:val="15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 PPP</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186,585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882,986</w:t>
            </w:r>
          </w:p>
        </w:tc>
        <w:tc>
          <w:tcPr>
            <w:tcW w:w="80" w:type="dxa"/>
            <w:vAlign w:val="bottom"/>
          </w:tcPr>
          <w:p>
            <w:pPr>
              <w:spacing w:after="0"/>
              <w:rPr>
                <w:sz w:val="13"/>
                <w:szCs w:val="13"/>
                <w:color w:val="auto"/>
              </w:rPr>
            </w:pPr>
          </w:p>
        </w:tc>
      </w:tr>
      <w:tr>
        <w:trPr>
          <w:trHeight w:val="15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925,178</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969,895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948,683</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813,063</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812,062</w:t>
            </w:r>
          </w:p>
        </w:tc>
        <w:tc>
          <w:tcPr>
            <w:tcW w:w="80" w:type="dxa"/>
            <w:vAlign w:val="bottom"/>
            <w:shd w:val="clear" w:color="auto" w:fill="CFF0FC"/>
          </w:tcPr>
          <w:p>
            <w:pPr>
              <w:spacing w:after="0"/>
              <w:rPr>
                <w:sz w:val="13"/>
                <w:szCs w:val="13"/>
                <w:color w:val="auto"/>
              </w:rPr>
            </w:pPr>
          </w:p>
        </w:tc>
      </w:tr>
      <w:tr>
        <w:trPr>
          <w:trHeight w:val="15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419,904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412,891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433,564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386,219</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361,146</w:t>
            </w:r>
          </w:p>
        </w:tc>
        <w:tc>
          <w:tcPr>
            <w:tcW w:w="80" w:type="dxa"/>
            <w:vAlign w:val="bottom"/>
          </w:tcPr>
          <w:p>
            <w:pPr>
              <w:spacing w:after="0"/>
              <w:rPr>
                <w:sz w:val="13"/>
                <w:szCs w:val="13"/>
                <w:color w:val="auto"/>
              </w:rPr>
            </w:pPr>
          </w:p>
        </w:tc>
      </w:tr>
      <w:tr>
        <w:trPr>
          <w:trHeight w:val="15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2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66,114</w:t>
            </w:r>
          </w:p>
        </w:tc>
        <w:tc>
          <w:tcPr>
            <w:tcW w:w="2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73,590</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81,126</w:t>
            </w:r>
          </w:p>
        </w:tc>
        <w:tc>
          <w:tcPr>
            <w:tcW w:w="2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45,933</w:t>
            </w:r>
          </w:p>
        </w:tc>
        <w:tc>
          <w:tcPr>
            <w:tcW w:w="2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45,547</w:t>
            </w:r>
          </w:p>
        </w:tc>
      </w:tr>
      <w:tr>
        <w:trPr>
          <w:trHeight w:val="15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269,172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269,868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266,024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240,654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270,511</w:t>
            </w:r>
          </w:p>
        </w:tc>
        <w:tc>
          <w:tcPr>
            <w:tcW w:w="80" w:type="dxa"/>
            <w:vAlign w:val="bottom"/>
          </w:tcPr>
          <w:p>
            <w:pPr>
              <w:spacing w:after="0"/>
              <w:rPr>
                <w:sz w:val="13"/>
                <w:szCs w:val="13"/>
                <w:color w:val="auto"/>
              </w:rPr>
            </w:pPr>
          </w:p>
        </w:tc>
      </w:tr>
      <w:tr>
        <w:trPr>
          <w:trHeight w:val="15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2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58,743</w:t>
            </w:r>
          </w:p>
        </w:tc>
        <w:tc>
          <w:tcPr>
            <w:tcW w:w="2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54,072</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76,781</w:t>
            </w:r>
          </w:p>
        </w:tc>
        <w:tc>
          <w:tcPr>
            <w:tcW w:w="2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74,665</w:t>
            </w:r>
          </w:p>
        </w:tc>
        <w:tc>
          <w:tcPr>
            <w:tcW w:w="2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86,006</w:t>
            </w:r>
          </w:p>
        </w:tc>
      </w:tr>
      <w:tr>
        <w:trPr>
          <w:trHeight w:val="156"/>
        </w:trPr>
        <w:tc>
          <w:tcPr>
            <w:tcW w:w="35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loans, at amortized cost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8,536,432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8,904,910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9,079,392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7,887,713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8,348,808</w:t>
            </w:r>
          </w:p>
        </w:tc>
        <w:tc>
          <w:tcPr>
            <w:tcW w:w="80" w:type="dxa"/>
            <w:vAlign w:val="bottom"/>
          </w:tcPr>
          <w:p>
            <w:pPr>
              <w:spacing w:after="0"/>
              <w:rPr>
                <w:sz w:val="13"/>
                <w:szCs w:val="13"/>
                <w:color w:val="auto"/>
              </w:rPr>
            </w:pPr>
          </w:p>
        </w:tc>
      </w:tr>
      <w:tr>
        <w:trPr>
          <w:trHeight w:val="15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Less: Allowance for credit losses</w:t>
            </w:r>
          </w:p>
        </w:tc>
        <w:tc>
          <w:tcPr>
            <w:tcW w:w="2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(80,122)</w:t>
            </w:r>
          </w:p>
        </w:tc>
        <w:tc>
          <w:tcPr>
            <w:tcW w:w="2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(86,842)</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(85,117)</w:t>
            </w:r>
          </w:p>
        </w:tc>
        <w:tc>
          <w:tcPr>
            <w:tcW w:w="2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(65,019)</w:t>
            </w:r>
          </w:p>
        </w:tc>
        <w:tc>
          <w:tcPr>
            <w:tcW w:w="2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(93,692)</w:t>
            </w:r>
          </w:p>
        </w:tc>
      </w:tr>
      <w:tr>
        <w:trPr>
          <w:trHeight w:val="156"/>
        </w:trPr>
        <w:tc>
          <w:tcPr>
            <w:tcW w:w="35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loans and lease finance receivables, net</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8,456,310</w:t>
            </w:r>
          </w:p>
        </w:tc>
        <w:tc>
          <w:tcPr>
            <w:tcW w:w="240" w:type="dxa"/>
            <w:vAlign w:val="bottom"/>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8,818,068</w:t>
            </w:r>
          </w:p>
        </w:tc>
        <w:tc>
          <w:tcPr>
            <w:tcW w:w="14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8,994,275</w:t>
            </w:r>
          </w:p>
        </w:tc>
        <w:tc>
          <w:tcPr>
            <w:tcW w:w="240" w:type="dxa"/>
            <w:vAlign w:val="bottom"/>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7,822,694</w:t>
            </w:r>
          </w:p>
        </w:tc>
        <w:tc>
          <w:tcPr>
            <w:tcW w:w="220" w:type="dxa"/>
            <w:vAlign w:val="bottom"/>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8,255,116</w:t>
            </w:r>
          </w:p>
        </w:tc>
        <w:tc>
          <w:tcPr>
            <w:tcW w:w="80" w:type="dxa"/>
            <w:vAlign w:val="bottom"/>
          </w:tcPr>
          <w:p>
            <w:pPr>
              <w:spacing w:after="0"/>
              <w:rPr>
                <w:sz w:val="13"/>
                <w:szCs w:val="13"/>
                <w:color w:val="auto"/>
              </w:rPr>
            </w:pPr>
          </w:p>
        </w:tc>
      </w:tr>
      <w:tr>
        <w:trPr>
          <w:trHeight w:val="20"/>
        </w:trPr>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right="80" w:firstLine="600"/>
        <w:spacing w:after="0" w:line="239" w:lineRule="auto"/>
        <w:rPr>
          <w:sz w:val="20"/>
          <w:szCs w:val="20"/>
          <w:color w:val="auto"/>
        </w:rPr>
      </w:pPr>
      <w:r>
        <w:rPr>
          <w:rFonts w:ascii="Times New Roman" w:cs="Times New Roman" w:eastAsia="Times New Roman" w:hAnsi="Times New Roman"/>
          <w:sz w:val="16"/>
          <w:szCs w:val="16"/>
          <w:color w:val="auto"/>
        </w:rPr>
        <w:t>As of December 31, 2024, $ 449.8 million, or 6.91% of the total commercial real estate loans included loans secured by farmland, compared to $497.7 million, or 7.34%, at December 31, 2023. The loans secured by farmland included $109.1 million for loans secured by dairy &amp; livestock land and $340.7 million for loans secured by agricultural land at December 31, 2024, compared to $122.4 million for loans secured by dairy &amp; livestock land and $375.3 million for loans secured by agricultural land at December 31, 2023. As of December 31, 2024, dairy &amp; livestock and agribusiness loans of $419.9 million were comprised of $385.3 million for dairy &amp; livestock loans and $34.6 million for agribusiness loans, compared to $374.9 million of dairy &amp; livestock loans and $38.0 million for agribusiness loans at December 31, 2023.</w:t>
      </w:r>
    </w:p>
    <w:p>
      <w:pPr>
        <w:spacing w:after="0" w:line="137" w:lineRule="exact"/>
        <w:rPr>
          <w:sz w:val="20"/>
          <w:szCs w:val="20"/>
          <w:color w:val="auto"/>
        </w:rPr>
      </w:pPr>
    </w:p>
    <w:p>
      <w:pPr>
        <w:ind w:right="40" w:firstLine="600"/>
        <w:spacing w:after="0" w:line="241" w:lineRule="auto"/>
        <w:rPr>
          <w:sz w:val="20"/>
          <w:szCs w:val="20"/>
          <w:color w:val="auto"/>
        </w:rPr>
      </w:pPr>
      <w:r>
        <w:rPr>
          <w:rFonts w:ascii="Times New Roman" w:cs="Times New Roman" w:eastAsia="Times New Roman" w:hAnsi="Times New Roman"/>
          <w:sz w:val="16"/>
          <w:szCs w:val="16"/>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33"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As of December 31, 2024, the Company had $204.5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December 31, 2024, the Company had $68.5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37" w:lineRule="exact"/>
        <w:rPr>
          <w:sz w:val="20"/>
          <w:szCs w:val="20"/>
          <w:color w:val="auto"/>
        </w:rPr>
      </w:pPr>
    </w:p>
    <w:p>
      <w:pPr>
        <w:ind w:right="140" w:firstLine="588"/>
        <w:spacing w:after="0" w:line="247" w:lineRule="auto"/>
        <w:rPr>
          <w:sz w:val="20"/>
          <w:szCs w:val="20"/>
          <w:color w:val="auto"/>
        </w:rPr>
      </w:pPr>
      <w:r>
        <w:rPr>
          <w:rFonts w:ascii="Times New Roman" w:cs="Times New Roman" w:eastAsia="Times New Roman" w:hAnsi="Times New Roman"/>
          <w:sz w:val="16"/>
          <w:szCs w:val="16"/>
          <w:color w:val="auto"/>
        </w:rPr>
        <w:t>As an active participant in the SBA’s Paycheck Protection Program, we originated during 2020 approximately 4,100 PPP loans totaling $1.10 billion in round one and originated approximately 1,900 PPP loans totaling $420 million in round two. As of December 31, 2024, the remaining outstanding balance of PPP loans totaled $0.8 million.</w:t>
      </w:r>
    </w:p>
    <w:p>
      <w:pPr>
        <w:spacing w:after="0" w:line="128" w:lineRule="exact"/>
        <w:rPr>
          <w:sz w:val="20"/>
          <w:szCs w:val="20"/>
          <w:color w:val="auto"/>
        </w:rPr>
      </w:pPr>
    </w:p>
    <w:p>
      <w:pPr>
        <w:ind w:right="60" w:firstLine="588"/>
        <w:spacing w:after="0" w:line="247" w:lineRule="auto"/>
        <w:rPr>
          <w:sz w:val="20"/>
          <w:szCs w:val="20"/>
          <w:color w:val="auto"/>
        </w:rPr>
      </w:pPr>
      <w:r>
        <w:rPr>
          <w:rFonts w:ascii="Times New Roman" w:cs="Times New Roman" w:eastAsia="Times New Roman" w:hAnsi="Times New Roman"/>
          <w:sz w:val="16"/>
          <w:szCs w:val="16"/>
          <w:color w:val="auto"/>
        </w:rPr>
        <w:t>As of December 31, 2024, the Company had $16.1 million in construction loans. This represented 0.19% of total held-for-investment loans at amortized cost. Our construction loans are located throughout our California market footprint and the majority consist of commercial land development and construction projects. There were no nonperforming construction loans at December 31, 2024.</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7" w:name="page58"/>
    <w:bookmarkEnd w:id="57"/>
    <w:p>
      <w:pPr>
        <w:spacing w:after="0" w:line="137" w:lineRule="exact"/>
        <w:rPr>
          <w:sz w:val="20"/>
          <w:szCs w:val="20"/>
          <w:color w:val="auto"/>
        </w:rPr>
      </w:pPr>
    </w:p>
    <w:p>
      <w:pPr>
        <w:ind w:right="140" w:firstLine="588"/>
        <w:spacing w:after="0" w:line="259" w:lineRule="auto"/>
        <w:rPr>
          <w:sz w:val="20"/>
          <w:szCs w:val="20"/>
          <w:color w:val="auto"/>
        </w:rPr>
      </w:pPr>
      <w:r>
        <w:rPr>
          <w:rFonts w:ascii="Times New Roman" w:cs="Times New Roman" w:eastAsia="Times New Roman" w:hAnsi="Times New Roman"/>
          <w:sz w:val="16"/>
          <w:szCs w:val="16"/>
          <w:color w:val="auto"/>
        </w:rPr>
        <w:t>Our loan portfolio is geographically disbursed throughout our marketplace. The following is the breakdown of our total held-for-investment commercial real estate loans, by region as of December 31, 2024.</w:t>
      </w:r>
    </w:p>
    <w:p>
      <w:pPr>
        <w:spacing w:after="0" w:line="165" w:lineRule="exact"/>
        <w:rPr>
          <w:sz w:val="20"/>
          <w:szCs w:val="20"/>
          <w:color w:val="auto"/>
        </w:rPr>
      </w:pPr>
    </w:p>
    <w:tbl>
      <w:tblPr>
        <w:tblLayout w:type="fixed"/>
        <w:tblInd w:w="480" w:type="dxa"/>
        <w:tblCellMar>
          <w:top w:w="0" w:type="dxa"/>
          <w:left w:w="0" w:type="dxa"/>
          <w:bottom w:w="0" w:type="dxa"/>
          <w:right w:w="0" w:type="dxa"/>
        </w:tblCellMar>
      </w:tblPr>
      <w:tr>
        <w:trPr>
          <w:trHeight w:val="205"/>
        </w:trPr>
        <w:tc>
          <w:tcPr>
            <w:tcW w:w="3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7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Commercial Real Estate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Los Angeles County</w:t>
            </w:r>
          </w:p>
        </w:tc>
        <w:tc>
          <w:tcPr>
            <w:tcW w:w="3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3,054,169</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35.8%</w:t>
            </w:r>
          </w:p>
        </w:tc>
        <w:tc>
          <w:tcPr>
            <w:tcW w:w="58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2,241,415</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180"/>
        </w:trPr>
        <w:tc>
          <w:tcPr>
            <w:tcW w:w="36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Central Valley and Sacramento</w:t>
            </w:r>
          </w:p>
        </w:tc>
        <w:tc>
          <w:tcPr>
            <w:tcW w:w="3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2,036,468</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5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1,545,836</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Orange County</w:t>
            </w: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1,158,621</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5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698,549</w:t>
            </w:r>
          </w:p>
        </w:tc>
        <w:tc>
          <w:tcPr>
            <w:tcW w:w="8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80"/>
        </w:trPr>
        <w:tc>
          <w:tcPr>
            <w:tcW w:w="36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Inland Empire</w:t>
            </w:r>
          </w:p>
        </w:tc>
        <w:tc>
          <w:tcPr>
            <w:tcW w:w="360" w:type="dxa"/>
            <w:vAlign w:val="bottom"/>
          </w:tcPr>
          <w:p>
            <w:pPr>
              <w:spacing w:after="0"/>
              <w:rPr>
                <w:sz w:val="15"/>
                <w:szCs w:val="15"/>
                <w:color w:val="auto"/>
              </w:rPr>
            </w:pPr>
          </w:p>
        </w:tc>
        <w:tc>
          <w:tcPr>
            <w:tcW w:w="10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982,600</w:t>
            </w:r>
          </w:p>
        </w:tc>
        <w:tc>
          <w:tcPr>
            <w:tcW w:w="54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580" w:type="dxa"/>
            <w:vAlign w:val="bottom"/>
          </w:tcPr>
          <w:p>
            <w:pPr>
              <w:spacing w:after="0"/>
              <w:rPr>
                <w:sz w:val="15"/>
                <w:szCs w:val="15"/>
                <w:color w:val="auto"/>
              </w:rPr>
            </w:pPr>
          </w:p>
        </w:tc>
        <w:tc>
          <w:tcPr>
            <w:tcW w:w="8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875,654</w:t>
            </w:r>
          </w:p>
        </w:tc>
        <w:tc>
          <w:tcPr>
            <w:tcW w:w="840" w:type="dxa"/>
            <w:vAlign w:val="bottom"/>
          </w:tcPr>
          <w:p>
            <w:pPr>
              <w:spacing w:after="0"/>
              <w:rPr>
                <w:sz w:val="15"/>
                <w:szCs w:val="15"/>
                <w:color w:val="auto"/>
              </w:rPr>
            </w:pPr>
          </w:p>
        </w:tc>
        <w:tc>
          <w:tcPr>
            <w:tcW w:w="6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Central Coast</w:t>
            </w:r>
          </w:p>
        </w:tc>
        <w:tc>
          <w:tcPr>
            <w:tcW w:w="3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460,267</w:t>
            </w:r>
          </w:p>
        </w:tc>
        <w:tc>
          <w:tcPr>
            <w:tcW w:w="5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5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394,781</w:t>
            </w:r>
          </w:p>
        </w:tc>
        <w:tc>
          <w:tcPr>
            <w:tcW w:w="8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5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 Diego</w:t>
            </w:r>
          </w:p>
        </w:tc>
        <w:tc>
          <w:tcPr>
            <w:tcW w:w="3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327,842</w:t>
            </w:r>
          </w:p>
        </w:tc>
        <w:tc>
          <w:tcPr>
            <w:tcW w:w="540" w:type="dxa"/>
            <w:vAlign w:val="bottom"/>
          </w:tcPr>
          <w:p>
            <w:pPr>
              <w:spacing w:after="0"/>
              <w:rPr>
                <w:sz w:val="21"/>
                <w:szCs w:val="21"/>
                <w:color w:val="auto"/>
              </w:rPr>
            </w:pPr>
          </w:p>
        </w:tc>
        <w:tc>
          <w:tcPr>
            <w:tcW w:w="1060" w:type="dxa"/>
            <w:vAlign w:val="bottom"/>
            <w:gridSpan w:val="2"/>
          </w:tcPr>
          <w:p>
            <w:pPr>
              <w:jc w:val="right"/>
              <w:ind w:right="140"/>
              <w:spacing w:after="0" w:line="252" w:lineRule="exact"/>
              <w:rPr>
                <w:sz w:val="20"/>
                <w:szCs w:val="20"/>
                <w:color w:val="auto"/>
              </w:rPr>
            </w:pPr>
            <w:r>
              <w:rPr>
                <w:rFonts w:ascii="Times New Roman" w:cs="Times New Roman" w:eastAsia="Times New Roman" w:hAnsi="Times New Roman"/>
                <w:sz w:val="15"/>
                <w:szCs w:val="15"/>
                <w:color w:val="auto"/>
              </w:rPr>
              <w:t>3.8</w:t>
            </w:r>
            <w:r>
              <w:rPr>
                <w:rFonts w:ascii="Times New Roman" w:cs="Times New Roman" w:eastAsia="Times New Roman" w:hAnsi="Times New Roman"/>
                <w:sz w:val="29"/>
                <w:szCs w:val="29"/>
                <w:color w:val="auto"/>
                <w:vertAlign w:val="superscript"/>
              </w:rPr>
              <w:t>%</w:t>
            </w:r>
          </w:p>
        </w:tc>
        <w:tc>
          <w:tcPr>
            <w:tcW w:w="5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329,697</w:t>
            </w:r>
          </w:p>
        </w:tc>
        <w:tc>
          <w:tcPr>
            <w:tcW w:w="840" w:type="dxa"/>
            <w:vAlign w:val="bottom"/>
          </w:tcPr>
          <w:p>
            <w:pPr>
              <w:spacing w:after="0"/>
              <w:rPr>
                <w:sz w:val="21"/>
                <w:szCs w:val="21"/>
                <w:color w:val="auto"/>
              </w:rPr>
            </w:pPr>
          </w:p>
        </w:tc>
        <w:tc>
          <w:tcPr>
            <w:tcW w:w="600" w:type="dxa"/>
            <w:vAlign w:val="bottom"/>
            <w:gridSpan w:val="2"/>
          </w:tcPr>
          <w:p>
            <w:pPr>
              <w:jc w:val="right"/>
              <w:spacing w:after="0" w:line="252" w:lineRule="exact"/>
              <w:rPr>
                <w:sz w:val="20"/>
                <w:szCs w:val="20"/>
                <w:color w:val="auto"/>
              </w:rPr>
            </w:pPr>
            <w:r>
              <w:rPr>
                <w:rFonts w:ascii="Times New Roman" w:cs="Times New Roman" w:eastAsia="Times New Roman" w:hAnsi="Times New Roman"/>
                <w:sz w:val="15"/>
                <w:szCs w:val="15"/>
                <w:color w:val="auto"/>
              </w:rPr>
              <w:t>5.1</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California</w:t>
            </w:r>
          </w:p>
        </w:tc>
        <w:tc>
          <w:tcPr>
            <w:tcW w:w="3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152,301</w:t>
            </w:r>
          </w:p>
        </w:tc>
        <w:tc>
          <w:tcPr>
            <w:tcW w:w="5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5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95,624</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0"/>
        </w:trPr>
        <w:tc>
          <w:tcPr>
            <w:tcW w:w="36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Out of State</w:t>
            </w:r>
          </w:p>
        </w:tc>
        <w:tc>
          <w:tcPr>
            <w:tcW w:w="360" w:type="dxa"/>
            <w:vAlign w:val="bottom"/>
          </w:tcPr>
          <w:p>
            <w:pPr>
              <w:spacing w:after="0"/>
              <w:rPr>
                <w:sz w:val="15"/>
                <w:szCs w:val="15"/>
                <w:color w:val="auto"/>
              </w:rPr>
            </w:pPr>
          </w:p>
        </w:tc>
        <w:tc>
          <w:tcPr>
            <w:tcW w:w="10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364,164</w:t>
            </w:r>
          </w:p>
        </w:tc>
        <w:tc>
          <w:tcPr>
            <w:tcW w:w="54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580" w:type="dxa"/>
            <w:vAlign w:val="bottom"/>
          </w:tcPr>
          <w:p>
            <w:pPr>
              <w:spacing w:after="0"/>
              <w:rPr>
                <w:sz w:val="15"/>
                <w:szCs w:val="15"/>
                <w:color w:val="auto"/>
              </w:rPr>
            </w:pPr>
          </w:p>
        </w:tc>
        <w:tc>
          <w:tcPr>
            <w:tcW w:w="8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325,896</w:t>
            </w:r>
          </w:p>
        </w:tc>
        <w:tc>
          <w:tcPr>
            <w:tcW w:w="840" w:type="dxa"/>
            <w:vAlign w:val="bottom"/>
          </w:tcPr>
          <w:p>
            <w:pPr>
              <w:spacing w:after="0"/>
              <w:rPr>
                <w:sz w:val="15"/>
                <w:szCs w:val="15"/>
                <w:color w:val="auto"/>
              </w:rPr>
            </w:pPr>
          </w:p>
        </w:tc>
        <w:tc>
          <w:tcPr>
            <w:tcW w:w="6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0"/>
        </w:trPr>
        <w:tc>
          <w:tcPr>
            <w:tcW w:w="36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8,536,432</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580" w:type="dxa"/>
            <w:vAlign w:val="bottom"/>
            <w:shd w:val="clear" w:color="auto" w:fill="CFF0FC"/>
          </w:tcPr>
          <w:p>
            <w:pPr>
              <w:jc w:val="right"/>
              <w:ind w:right="40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6,507,452</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table below breaks down our commercial real estate portfolio by property type.</w:t>
      </w:r>
    </w:p>
    <w:p>
      <w:pPr>
        <w:spacing w:after="0" w:line="170"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4"/>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Owner-</w:t>
            </w:r>
          </w:p>
        </w:tc>
        <w:tc>
          <w:tcPr>
            <w:tcW w:w="140" w:type="dxa"/>
            <w:vAlign w:val="bottom"/>
          </w:tcPr>
          <w:p>
            <w:pPr>
              <w:spacing w:after="0"/>
              <w:rPr>
                <w:sz w:val="15"/>
                <w:szCs w:val="15"/>
                <w:color w:val="auto"/>
              </w:rPr>
            </w:pPr>
          </w:p>
        </w:tc>
        <w:tc>
          <w:tcPr>
            <w:tcW w:w="120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Loan Balance</w:t>
            </w:r>
          </w:p>
        </w:tc>
        <w:tc>
          <w:tcPr>
            <w:tcW w:w="1520" w:type="dxa"/>
            <w:vAlign w:val="bottom"/>
            <w:gridSpan w:val="2"/>
          </w:tcPr>
          <w:p>
            <w:pPr>
              <w:jc w:val="right"/>
              <w:ind w:right="620"/>
              <w:spacing w:after="0" w:line="180" w:lineRule="exact"/>
              <w:rPr>
                <w:sz w:val="20"/>
                <w:szCs w:val="20"/>
                <w:color w:val="auto"/>
              </w:rPr>
            </w:pPr>
            <w:r>
              <w:rPr>
                <w:rFonts w:ascii="Times New Roman" w:cs="Times New Roman" w:eastAsia="Times New Roman" w:hAnsi="Times New Roman"/>
                <w:sz w:val="16"/>
                <w:szCs w:val="16"/>
                <w:b w:val="1"/>
                <w:bCs w:val="1"/>
                <w:color w:val="auto"/>
              </w:rPr>
              <w:t>Percent</w:t>
            </w:r>
          </w:p>
        </w:tc>
        <w:tc>
          <w:tcPr>
            <w:tcW w:w="156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Occupied (1)</w:t>
            </w:r>
          </w:p>
        </w:tc>
        <w:tc>
          <w:tcPr>
            <w:tcW w:w="140" w:type="dxa"/>
            <w:vAlign w:val="bottom"/>
          </w:tcPr>
          <w:p>
            <w:pPr>
              <w:spacing w:after="0"/>
              <w:rPr>
                <w:sz w:val="15"/>
                <w:szCs w:val="15"/>
                <w:color w:val="auto"/>
              </w:rPr>
            </w:pPr>
          </w:p>
        </w:tc>
        <w:tc>
          <w:tcPr>
            <w:tcW w:w="120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Loan Balance</w:t>
            </w:r>
          </w:p>
        </w:tc>
        <w:tc>
          <w:tcPr>
            <w:tcW w:w="0" w:type="dxa"/>
            <w:vAlign w:val="bottom"/>
          </w:tcPr>
          <w:p>
            <w:pPr>
              <w:spacing w:after="0"/>
              <w:rPr>
                <w:sz w:val="1"/>
                <w:szCs w:val="1"/>
                <w:color w:val="auto"/>
              </w:rPr>
            </w:pPr>
          </w:p>
        </w:tc>
      </w:tr>
      <w:tr>
        <w:trPr>
          <w:trHeight w:val="195"/>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4"/>
          </w:tcPr>
          <w:p>
            <w:pPr>
              <w:jc w:val="right"/>
              <w:ind w:right="9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4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Industrial</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2,217,203</w:t>
            </w:r>
          </w:p>
        </w:tc>
        <w:tc>
          <w:tcPr>
            <w:tcW w:w="1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34.1%</w:t>
            </w:r>
          </w:p>
        </w:tc>
        <w:tc>
          <w:tcPr>
            <w:tcW w:w="15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47.9%</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1,621</w:t>
            </w: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Office</w:t>
            </w:r>
          </w:p>
        </w:tc>
        <w:tc>
          <w:tcPr>
            <w:tcW w:w="1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1,039,502</w:t>
            </w:r>
          </w:p>
        </w:tc>
        <w:tc>
          <w:tcPr>
            <w:tcW w:w="180" w:type="dxa"/>
            <w:vAlign w:val="bottom"/>
          </w:tcPr>
          <w:p>
            <w:pPr>
              <w:spacing w:after="0"/>
              <w:rPr>
                <w:sz w:val="15"/>
                <w:szCs w:val="15"/>
                <w:color w:val="auto"/>
              </w:rPr>
            </w:pPr>
          </w:p>
        </w:tc>
        <w:tc>
          <w:tcPr>
            <w:tcW w:w="15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15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27.0%</w:t>
            </w:r>
          </w:p>
        </w:tc>
        <w:tc>
          <w:tcPr>
            <w:tcW w:w="14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1,666</w:t>
            </w:r>
          </w:p>
        </w:tc>
        <w:tc>
          <w:tcPr>
            <w:tcW w:w="0" w:type="dxa"/>
            <w:vAlign w:val="bottom"/>
          </w:tcPr>
          <w:p>
            <w:pPr>
              <w:spacing w:after="0"/>
              <w:rPr>
                <w:sz w:val="1"/>
                <w:szCs w:val="1"/>
                <w:color w:val="auto"/>
              </w:rPr>
            </w:pPr>
          </w:p>
        </w:tc>
      </w:tr>
      <w:tr>
        <w:trPr>
          <w:trHeight w:val="180"/>
        </w:trPr>
        <w:tc>
          <w:tcPr>
            <w:tcW w:w="364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Retail</w:t>
            </w: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887,526</w:t>
            </w:r>
          </w:p>
        </w:tc>
        <w:tc>
          <w:tcPr>
            <w:tcW w:w="15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15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1,704</w:t>
            </w: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tcPr>
          <w:p>
            <w:pPr>
              <w:spacing w:after="0"/>
              <w:rPr>
                <w:sz w:val="15"/>
                <w:szCs w:val="15"/>
                <w:color w:val="auto"/>
              </w:rPr>
            </w:pPr>
          </w:p>
        </w:tc>
        <w:tc>
          <w:tcPr>
            <w:tcW w:w="13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811,701</w:t>
            </w:r>
          </w:p>
        </w:tc>
        <w:tc>
          <w:tcPr>
            <w:tcW w:w="15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15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4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1,570</w:t>
            </w:r>
          </w:p>
        </w:tc>
        <w:tc>
          <w:tcPr>
            <w:tcW w:w="0" w:type="dxa"/>
            <w:vAlign w:val="bottom"/>
          </w:tcPr>
          <w:p>
            <w:pPr>
              <w:spacing w:after="0"/>
              <w:rPr>
                <w:sz w:val="1"/>
                <w:szCs w:val="1"/>
                <w:color w:val="auto"/>
              </w:rPr>
            </w:pPr>
          </w:p>
        </w:tc>
      </w:tr>
      <w:tr>
        <w:trPr>
          <w:trHeight w:val="144"/>
        </w:trPr>
        <w:tc>
          <w:tcPr>
            <w:tcW w:w="3640" w:type="dxa"/>
            <w:vAlign w:val="bottom"/>
            <w:shd w:val="clear" w:color="auto" w:fill="CFF0FC"/>
          </w:tcPr>
          <w:p>
            <w:pPr>
              <w:ind w:left="160"/>
              <w:spacing w:after="0" w:line="144" w:lineRule="exact"/>
              <w:rPr>
                <w:sz w:val="20"/>
                <w:szCs w:val="20"/>
                <w:color w:val="auto"/>
              </w:rPr>
            </w:pPr>
            <w:r>
              <w:rPr>
                <w:rFonts w:ascii="Times New Roman" w:cs="Times New Roman" w:eastAsia="Times New Roman" w:hAnsi="Times New Roman"/>
                <w:sz w:val="16"/>
                <w:szCs w:val="16"/>
                <w:color w:val="auto"/>
              </w:rPr>
              <w:t>Secured by farmland (2)</w:t>
            </w:r>
          </w:p>
        </w:tc>
        <w:tc>
          <w:tcPr>
            <w:tcW w:w="14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449,771</w:t>
            </w:r>
          </w:p>
        </w:tc>
        <w:tc>
          <w:tcPr>
            <w:tcW w:w="15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6.9%</w:t>
            </w: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6"/>
                <w:szCs w:val="16"/>
                <w:color w:val="auto"/>
              </w:rPr>
              <w:t>98.7</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1,460</w:t>
            </w:r>
          </w:p>
        </w:tc>
        <w:tc>
          <w:tcPr>
            <w:tcW w:w="0" w:type="dxa"/>
            <w:vAlign w:val="bottom"/>
          </w:tcPr>
          <w:p>
            <w:pPr>
              <w:spacing w:after="0"/>
              <w:rPr>
                <w:sz w:val="1"/>
                <w:szCs w:val="1"/>
                <w:color w:val="auto"/>
              </w:rPr>
            </w:pPr>
          </w:p>
        </w:tc>
      </w:tr>
      <w:tr>
        <w:trPr>
          <w:trHeight w:val="180"/>
        </w:trPr>
        <w:tc>
          <w:tcPr>
            <w:tcW w:w="3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gridSpan w:val="2"/>
            <w:vMerge w:val="continue"/>
            <w:shd w:val="clear" w:color="auto" w:fill="CFF0FC"/>
          </w:tcPr>
          <w:p>
            <w:pPr>
              <w:spacing w:after="0"/>
              <w:rPr>
                <w:sz w:val="15"/>
                <w:szCs w:val="15"/>
                <w:color w:val="auto"/>
              </w:rPr>
            </w:pPr>
          </w:p>
        </w:tc>
        <w:tc>
          <w:tcPr>
            <w:tcW w:w="1520" w:type="dxa"/>
            <w:vAlign w:val="bottom"/>
            <w:gridSpan w:val="2"/>
            <w:vMerge w:val="continue"/>
            <w:shd w:val="clear" w:color="auto" w:fill="CFF0FC"/>
          </w:tcPr>
          <w:p>
            <w:pPr>
              <w:spacing w:after="0"/>
              <w:rPr>
                <w:sz w:val="15"/>
                <w:szCs w:val="15"/>
                <w:color w:val="auto"/>
              </w:rPr>
            </w:pPr>
          </w:p>
        </w:tc>
        <w:tc>
          <w:tcPr>
            <w:tcW w:w="15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20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Medical</w:t>
            </w:r>
          </w:p>
        </w:tc>
        <w:tc>
          <w:tcPr>
            <w:tcW w:w="140" w:type="dxa"/>
            <w:vAlign w:val="bottom"/>
          </w:tcPr>
          <w:p>
            <w:pPr>
              <w:spacing w:after="0"/>
              <w:rPr>
                <w:sz w:val="15"/>
                <w:szCs w:val="15"/>
                <w:color w:val="auto"/>
              </w:rPr>
            </w:pPr>
          </w:p>
        </w:tc>
        <w:tc>
          <w:tcPr>
            <w:tcW w:w="13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300,987</w:t>
            </w:r>
          </w:p>
        </w:tc>
        <w:tc>
          <w:tcPr>
            <w:tcW w:w="15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5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33.3%</w:t>
            </w:r>
          </w:p>
        </w:tc>
        <w:tc>
          <w:tcPr>
            <w:tcW w:w="14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1,454</w:t>
            </w:r>
          </w:p>
        </w:tc>
        <w:tc>
          <w:tcPr>
            <w:tcW w:w="0" w:type="dxa"/>
            <w:vAlign w:val="bottom"/>
          </w:tcPr>
          <w:p>
            <w:pPr>
              <w:spacing w:after="0"/>
              <w:rPr>
                <w:sz w:val="1"/>
                <w:szCs w:val="1"/>
                <w:color w:val="auto"/>
              </w:rPr>
            </w:pPr>
          </w:p>
        </w:tc>
      </w:tr>
      <w:tr>
        <w:trPr>
          <w:trHeight w:val="180"/>
        </w:trPr>
        <w:tc>
          <w:tcPr>
            <w:tcW w:w="364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Other (3)</w:t>
            </w: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800,762</w:t>
            </w:r>
          </w:p>
        </w:tc>
        <w:tc>
          <w:tcPr>
            <w:tcW w:w="15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12.3%</w:t>
            </w:r>
          </w:p>
        </w:tc>
        <w:tc>
          <w:tcPr>
            <w:tcW w:w="15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42.4%</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180"/>
        </w:trPr>
        <w:tc>
          <w:tcPr>
            <w:tcW w:w="3640" w:type="dxa"/>
            <w:vAlign w:val="bottom"/>
          </w:tcPr>
          <w:p>
            <w:pPr>
              <w:ind w:left="320"/>
              <w:spacing w:after="0" w:line="160" w:lineRule="exact"/>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6,507,452</w:t>
            </w:r>
          </w:p>
        </w:tc>
        <w:tc>
          <w:tcPr>
            <w:tcW w:w="180" w:type="dxa"/>
            <w:vAlign w:val="bottom"/>
          </w:tcPr>
          <w:p>
            <w:pPr>
              <w:spacing w:after="0"/>
              <w:rPr>
                <w:sz w:val="15"/>
                <w:szCs w:val="15"/>
                <w:color w:val="auto"/>
              </w:rPr>
            </w:pPr>
          </w:p>
        </w:tc>
        <w:tc>
          <w:tcPr>
            <w:tcW w:w="152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56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35.8</w:t>
            </w:r>
            <w:r>
              <w:rPr>
                <w:rFonts w:ascii="Times New Roman" w:cs="Times New Roman" w:eastAsia="Times New Roman" w:hAnsi="Times New Roman"/>
                <w:sz w:val="18"/>
                <w:szCs w:val="18"/>
                <w:color w:val="auto"/>
                <w:vertAlign w:val="subscript"/>
              </w:rPr>
              <w:t>%</w:t>
            </w:r>
          </w:p>
        </w:tc>
        <w:tc>
          <w:tcPr>
            <w:tcW w:w="1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1,625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(1)Represents percentage of reported owner-occupied at origination in each real estate loan category.</w:t>
      </w:r>
    </w:p>
    <w:p>
      <w:pPr>
        <w:spacing w:after="0" w:line="23" w:lineRule="exact"/>
        <w:rPr>
          <w:sz w:val="20"/>
          <w:szCs w:val="20"/>
          <w:color w:val="auto"/>
        </w:rPr>
      </w:pPr>
    </w:p>
    <w:p>
      <w:pPr>
        <w:ind w:left="960" w:right="240"/>
        <w:spacing w:after="0" w:line="250" w:lineRule="auto"/>
        <w:rPr>
          <w:sz w:val="20"/>
          <w:szCs w:val="20"/>
          <w:color w:val="auto"/>
        </w:rPr>
      </w:pPr>
      <w:r>
        <w:rPr>
          <w:rFonts w:ascii="Times New Roman" w:cs="Times New Roman" w:eastAsia="Times New Roman" w:hAnsi="Times New Roman"/>
          <w:sz w:val="14"/>
          <w:szCs w:val="14"/>
          <w:color w:val="auto"/>
        </w:rPr>
        <w:t>(2)The loans secured by farmland included $109.1 million for loans secured by dairy &amp; livestock land and $340.6 million for loans secured by agricultural land at December 31, 2024.</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(3)Other loans consist of a variety of loan types, none of which exceeds 2.0% of total commercial real estate loans.</w:t>
      </w:r>
    </w:p>
    <w:p>
      <w:pPr>
        <w:spacing w:after="0" w:line="146"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At December 31, 2024, commercial real estate loans on office properties totaled $1.04 billion, or approximately 16.0% of total commercial real estate loans. At origination, these loans on office properties were underwritten with loan-to-values averaging approximately 55%. Approximately 37% of these loans were originated prior to 2020. The average loan size for office loans was approximately $1.7 million and 87% of these loans have a balance of $10 million or less.</w:t>
      </w:r>
    </w:p>
    <w:p>
      <w:pPr>
        <w:spacing w:after="0" w:line="128" w:lineRule="exact"/>
        <w:rPr>
          <w:sz w:val="20"/>
          <w:szCs w:val="20"/>
          <w:color w:val="auto"/>
        </w:rPr>
      </w:pPr>
    </w:p>
    <w:p>
      <w:pPr>
        <w:jc w:val="both"/>
        <w:ind w:right="60" w:firstLine="588"/>
        <w:spacing w:after="0" w:line="247" w:lineRule="auto"/>
        <w:rPr>
          <w:sz w:val="20"/>
          <w:szCs w:val="20"/>
          <w:color w:val="auto"/>
        </w:rPr>
      </w:pPr>
      <w:r>
        <w:rPr>
          <w:rFonts w:ascii="Times New Roman" w:cs="Times New Roman" w:eastAsia="Times New Roman" w:hAnsi="Times New Roman"/>
          <w:sz w:val="16"/>
          <w:szCs w:val="16"/>
          <w:color w:val="auto"/>
        </w:rPr>
        <w:t>At December 31, 2024, commercial real estate loans on retail properties totaled $887.5 million, or approximately 13.6% of total commercial real estate loans. At origination, these loans on retail properties were underwritten with loan-to-values averaging approximately 47%. Approximately 37% of these loans were originated prior to 2020.</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8" w:name="page59"/>
    <w:bookmarkEnd w:id="58"/>
    <w:p>
      <w:pPr>
        <w:spacing w:after="0" w:line="137" w:lineRule="exact"/>
        <w:rPr>
          <w:sz w:val="20"/>
          <w:szCs w:val="20"/>
          <w:color w:val="auto"/>
        </w:rPr>
      </w:pPr>
    </w:p>
    <w:p>
      <w:pPr>
        <w:ind w:right="260" w:firstLine="588"/>
        <w:spacing w:after="0" w:line="331" w:lineRule="auto"/>
        <w:rPr>
          <w:sz w:val="20"/>
          <w:szCs w:val="20"/>
          <w:color w:val="auto"/>
        </w:rPr>
      </w:pPr>
      <w:r>
        <w:rPr>
          <w:rFonts w:ascii="Times New Roman" w:cs="Times New Roman" w:eastAsia="Times New Roman" w:hAnsi="Times New Roman"/>
          <w:sz w:val="14"/>
          <w:szCs w:val="14"/>
          <w:color w:val="auto"/>
        </w:rPr>
        <w:t>The table below provides the maturity distribution for held-for -investment total gross loans as of December 31, 2024. The loan amounts are based on contractual maturities although the borrowers have the ability to prepay the loans. Amounts are also classified according to repricing opportunities or rate sensitivity.</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Loan Maturities and Interest Rate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After One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But Within</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After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2"/>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4"/>
          </w:tcPr>
          <w:p>
            <w:pPr>
              <w:jc w:val="right"/>
              <w:ind w:right="80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Loan Portfolio by Type:</w:t>
            </w: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312,596</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2,058,857</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4,135,999</w:t>
            </w:r>
          </w:p>
        </w:tc>
        <w:tc>
          <w:tcPr>
            <w:tcW w:w="5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6,507,452</w:t>
            </w:r>
          </w:p>
        </w:tc>
        <w:tc>
          <w:tcPr>
            <w:tcW w:w="100" w:type="dxa"/>
            <w:vAlign w:val="bottom"/>
          </w:tcPr>
          <w:p>
            <w:pPr>
              <w:spacing w:after="0"/>
              <w:rPr>
                <w:sz w:val="14"/>
                <w:szCs w:val="14"/>
                <w:color w:val="auto"/>
              </w:rPr>
            </w:pPr>
          </w:p>
        </w:tc>
      </w:tr>
      <w:tr>
        <w:trPr>
          <w:trHeight w:val="168"/>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16,082</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16,082</w:t>
            </w:r>
          </w:p>
        </w:tc>
        <w:tc>
          <w:tcPr>
            <w:tcW w:w="100" w:type="dxa"/>
            <w:vAlign w:val="bottom"/>
            <w:shd w:val="clear" w:color="auto" w:fill="CFF0FC"/>
          </w:tcPr>
          <w:p>
            <w:pPr>
              <w:spacing w:after="0"/>
              <w:rPr>
                <w:sz w:val="14"/>
                <w:szCs w:val="14"/>
                <w:color w:val="auto"/>
              </w:rPr>
            </w:pPr>
          </w:p>
        </w:tc>
      </w:tr>
      <w:tr>
        <w:trPr>
          <w:trHeight w:val="16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SBA</w:t>
            </w: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232,951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273,013</w:t>
            </w:r>
          </w:p>
        </w:tc>
        <w:tc>
          <w:tcPr>
            <w:tcW w:w="100" w:type="dxa"/>
            <w:vAlign w:val="bottom"/>
          </w:tcPr>
          <w:p>
            <w:pPr>
              <w:spacing w:after="0"/>
              <w:rPr>
                <w:sz w:val="14"/>
                <w:szCs w:val="14"/>
                <w:color w:val="auto"/>
              </w:rPr>
            </w:pPr>
          </w:p>
        </w:tc>
      </w:tr>
      <w:tr>
        <w:trPr>
          <w:trHeight w:val="168"/>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SBA - PPP</w:t>
            </w: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shd w:val="clear" w:color="auto" w:fill="CFF0FC"/>
          </w:tcPr>
          <w:p>
            <w:pPr>
              <w:spacing w:after="0"/>
              <w:rPr>
                <w:sz w:val="14"/>
                <w:szCs w:val="14"/>
                <w:color w:val="auto"/>
              </w:rPr>
            </w:pPr>
          </w:p>
        </w:tc>
      </w:tr>
      <w:tr>
        <w:trPr>
          <w:trHeight w:val="16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342,827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374,659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207,692</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925,178</w:t>
            </w:r>
          </w:p>
        </w:tc>
        <w:tc>
          <w:tcPr>
            <w:tcW w:w="100" w:type="dxa"/>
            <w:vAlign w:val="bottom"/>
          </w:tcPr>
          <w:p>
            <w:pPr>
              <w:spacing w:after="0"/>
              <w:rPr>
                <w:sz w:val="14"/>
                <w:szCs w:val="14"/>
                <w:color w:val="auto"/>
              </w:rPr>
            </w:pPr>
          </w:p>
        </w:tc>
      </w:tr>
      <w:tr>
        <w:trPr>
          <w:trHeight w:val="168"/>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380,820</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38,877</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419,904</w:t>
            </w:r>
          </w:p>
        </w:tc>
        <w:tc>
          <w:tcPr>
            <w:tcW w:w="100" w:type="dxa"/>
            <w:vAlign w:val="bottom"/>
            <w:shd w:val="clear" w:color="auto" w:fill="CFF0FC"/>
          </w:tcPr>
          <w:p>
            <w:pPr>
              <w:spacing w:after="0"/>
              <w:rPr>
                <w:sz w:val="14"/>
                <w:szCs w:val="14"/>
                <w:color w:val="auto"/>
              </w:rPr>
            </w:pPr>
          </w:p>
        </w:tc>
      </w:tr>
      <w:tr>
        <w:trPr>
          <w:trHeight w:val="16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56,076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66,114</w:t>
            </w:r>
          </w:p>
        </w:tc>
        <w:tc>
          <w:tcPr>
            <w:tcW w:w="100" w:type="dxa"/>
            <w:vAlign w:val="bottom"/>
          </w:tcPr>
          <w:p>
            <w:pPr>
              <w:spacing w:after="0"/>
              <w:rPr>
                <w:sz w:val="14"/>
                <w:szCs w:val="14"/>
                <w:color w:val="auto"/>
              </w:rPr>
            </w:pPr>
          </w:p>
        </w:tc>
      </w:tr>
      <w:tr>
        <w:trPr>
          <w:trHeight w:val="168"/>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SFR mortgage</w:t>
            </w: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265,962</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269,172</w:t>
            </w:r>
          </w:p>
        </w:tc>
        <w:tc>
          <w:tcPr>
            <w:tcW w:w="100" w:type="dxa"/>
            <w:vAlign w:val="bottom"/>
            <w:shd w:val="clear" w:color="auto" w:fill="CFF0FC"/>
          </w:tcPr>
          <w:p>
            <w:pPr>
              <w:spacing w:after="0"/>
              <w:rPr>
                <w:sz w:val="14"/>
                <w:szCs w:val="14"/>
                <w:color w:val="auto"/>
              </w:rPr>
            </w:pPr>
          </w:p>
        </w:tc>
      </w:tr>
      <w:tr>
        <w:trPr>
          <w:trHeight w:val="16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37,352</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58,743</w:t>
            </w:r>
          </w:p>
        </w:tc>
        <w:tc>
          <w:tcPr>
            <w:tcW w:w="100" w:type="dxa"/>
            <w:vAlign w:val="bottom"/>
          </w:tcPr>
          <w:p>
            <w:pPr>
              <w:spacing w:after="0"/>
              <w:rPr>
                <w:sz w:val="14"/>
                <w:szCs w:val="14"/>
                <w:color w:val="auto"/>
              </w:rPr>
            </w:pPr>
          </w:p>
        </w:tc>
      </w:tr>
      <w:tr>
        <w:trPr>
          <w:trHeight w:val="208"/>
        </w:trPr>
        <w:tc>
          <w:tcPr>
            <w:tcW w:w="4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Total gross loans</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1,073,125</w:t>
            </w:r>
          </w:p>
        </w:tc>
        <w:tc>
          <w:tcPr>
            <w:tcW w:w="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2,527,068</w:t>
            </w:r>
          </w:p>
        </w:tc>
        <w:tc>
          <w:tcPr>
            <w:tcW w:w="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4,936,239</w:t>
            </w:r>
          </w:p>
        </w:tc>
        <w:tc>
          <w:tcPr>
            <w:tcW w:w="5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8,536,432</w:t>
            </w:r>
          </w:p>
        </w:tc>
        <w:tc>
          <w:tcPr>
            <w:tcW w:w="100" w:type="dxa"/>
            <w:vAlign w:val="bottom"/>
            <w:shd w:val="clear" w:color="auto" w:fill="CFF0FC"/>
          </w:tcPr>
          <w:p>
            <w:pPr>
              <w:spacing w:after="0"/>
              <w:rPr>
                <w:sz w:val="18"/>
                <w:szCs w:val="18"/>
                <w:color w:val="auto"/>
              </w:rPr>
            </w:pPr>
          </w:p>
        </w:tc>
      </w:tr>
      <w:tr>
        <w:trPr>
          <w:trHeight w:val="144"/>
        </w:trPr>
        <w:tc>
          <w:tcPr>
            <w:tcW w:w="4080" w:type="dxa"/>
            <w:vAlign w:val="bottom"/>
            <w:tcBorders>
              <w:top w:val="single" w:sz="8" w:color="CFF0FC"/>
            </w:tcBorders>
          </w:tcPr>
          <w:p>
            <w:pPr>
              <w:ind w:left="20"/>
              <w:spacing w:after="0" w:line="144" w:lineRule="exact"/>
              <w:rPr>
                <w:sz w:val="20"/>
                <w:szCs w:val="20"/>
                <w:color w:val="auto"/>
              </w:rPr>
            </w:pPr>
            <w:r>
              <w:rPr>
                <w:rFonts w:ascii="Times New Roman" w:cs="Times New Roman" w:eastAsia="Times New Roman" w:hAnsi="Times New Roman"/>
                <w:sz w:val="14"/>
                <w:szCs w:val="14"/>
                <w:color w:val="auto"/>
              </w:rPr>
              <w:t>Amount of Loans based upon:</w:t>
            </w: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8"/>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Fixed Rates</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278,034</w:t>
            </w:r>
          </w:p>
        </w:tc>
        <w:tc>
          <w:tcPr>
            <w:tcW w:w="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1,866,169</w:t>
            </w:r>
          </w:p>
        </w:tc>
        <w:tc>
          <w:tcPr>
            <w:tcW w:w="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3,204,060</w:t>
            </w:r>
          </w:p>
        </w:tc>
        <w:tc>
          <w:tcPr>
            <w:tcW w:w="5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5,348,263</w:t>
            </w:r>
          </w:p>
        </w:tc>
        <w:tc>
          <w:tcPr>
            <w:tcW w:w="100" w:type="dxa"/>
            <w:vAlign w:val="bottom"/>
            <w:shd w:val="clear" w:color="auto" w:fill="CFF0FC"/>
          </w:tcPr>
          <w:p>
            <w:pPr>
              <w:spacing w:after="0"/>
              <w:rPr>
                <w:sz w:val="14"/>
                <w:szCs w:val="14"/>
                <w:color w:val="auto"/>
              </w:rPr>
            </w:pPr>
          </w:p>
        </w:tc>
      </w:tr>
      <w:tr>
        <w:trPr>
          <w:trHeight w:val="16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Floating or adjustable rates</w:t>
            </w: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795,091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660,899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1,732,179</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3,188,169</w:t>
            </w:r>
          </w:p>
        </w:tc>
        <w:tc>
          <w:tcPr>
            <w:tcW w:w="100" w:type="dxa"/>
            <w:vAlign w:val="bottom"/>
          </w:tcPr>
          <w:p>
            <w:pPr>
              <w:spacing w:after="0"/>
              <w:rPr>
                <w:sz w:val="14"/>
                <w:szCs w:val="14"/>
                <w:color w:val="auto"/>
              </w:rPr>
            </w:pPr>
          </w:p>
        </w:tc>
      </w:tr>
      <w:tr>
        <w:trPr>
          <w:trHeight w:val="208"/>
        </w:trPr>
        <w:tc>
          <w:tcPr>
            <w:tcW w:w="40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Total loans, at amortized cost</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1,073,125</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2,527,068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4,936,239</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8,536,432</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167" w:lineRule="exact"/>
        <w:rPr>
          <w:sz w:val="20"/>
          <w:szCs w:val="20"/>
          <w:color w:val="auto"/>
        </w:rPr>
      </w:pPr>
    </w:p>
    <w:p>
      <w:pPr>
        <w:ind w:right="80" w:firstLine="600"/>
        <w:spacing w:after="0" w:line="243" w:lineRule="auto"/>
        <w:rPr>
          <w:sz w:val="20"/>
          <w:szCs w:val="20"/>
          <w:color w:val="auto"/>
        </w:rPr>
      </w:pPr>
      <w:r>
        <w:rPr>
          <w:rFonts w:ascii="Times New Roman" w:cs="Times New Roman" w:eastAsia="Times New Roman" w:hAnsi="Times New Roman"/>
          <w:sz w:val="16"/>
          <w:szCs w:val="16"/>
          <w:color w:val="auto"/>
        </w:rPr>
        <w:t>As a normal practice in extending credit for commercial and industrial purposes, we may accept trust deeds on real property as collateral. In some cases, when the primary source of repayment for the loan is anticipated to come from the cash flow from normal operations of the borrower, and real property has been taken as collateral, the real property is considered a secondary source of repayment for the loan. Since we lend primarily in Southern and Central California, our real estate loan collateral is concentrated in this region.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Nonperforming Assets</w:t>
      </w:r>
    </w:p>
    <w:p>
      <w:pPr>
        <w:spacing w:after="0" w:line="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provides information on nonperforming assets as of the dates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5"/>
                <w:szCs w:val="15"/>
                <w:color w:val="auto"/>
              </w:rPr>
            </w:pPr>
          </w:p>
        </w:tc>
      </w:tr>
      <w:tr>
        <w:trPr>
          <w:trHeight w:val="195"/>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48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Nonaccrual loans</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27,795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21,302</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4,930</w:t>
            </w:r>
          </w:p>
        </w:tc>
        <w:tc>
          <w:tcPr>
            <w:tcW w:w="2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6,893</w:t>
            </w:r>
          </w:p>
        </w:tc>
        <w:tc>
          <w:tcPr>
            <w:tcW w:w="2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14,347</w:t>
            </w:r>
          </w:p>
        </w:tc>
        <w:tc>
          <w:tcPr>
            <w:tcW w:w="140" w:type="dxa"/>
            <w:vAlign w:val="bottom"/>
            <w:shd w:val="clear" w:color="auto" w:fill="CFF0FC"/>
          </w:tcPr>
          <w:p>
            <w:pPr>
              <w:spacing w:after="0"/>
              <w:rPr>
                <w:sz w:val="15"/>
                <w:szCs w:val="15"/>
                <w:color w:val="auto"/>
              </w:rPr>
            </w:pPr>
          </w:p>
        </w:tc>
      </w:tr>
      <w:tr>
        <w:trPr>
          <w:trHeight w:val="167"/>
        </w:trPr>
        <w:tc>
          <w:tcPr>
            <w:tcW w:w="480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Loans past due 90 days or more and still accruing</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20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67"/>
        </w:trPr>
        <w:tc>
          <w:tcPr>
            <w:tcW w:w="480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Nonperforming modified loans / troubled debt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93"/>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restructured loans (TDRs)</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nonperforming loans</w:t>
            </w:r>
          </w:p>
        </w:tc>
        <w:tc>
          <w:tcPr>
            <w:tcW w:w="2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27,795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21,302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4,930</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6,893</w:t>
            </w:r>
          </w:p>
        </w:tc>
        <w:tc>
          <w:tcPr>
            <w:tcW w:w="2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14,347</w:t>
            </w:r>
          </w:p>
        </w:tc>
        <w:tc>
          <w:tcPr>
            <w:tcW w:w="140" w:type="dxa"/>
            <w:vAlign w:val="bottom"/>
          </w:tcPr>
          <w:p>
            <w:pPr>
              <w:spacing w:after="0"/>
              <w:rPr>
                <w:sz w:val="15"/>
                <w:szCs w:val="15"/>
                <w:color w:val="auto"/>
              </w:rPr>
            </w:pPr>
          </w:p>
        </w:tc>
      </w:tr>
      <w:tr>
        <w:trPr>
          <w:trHeight w:val="180"/>
        </w:trPr>
        <w:tc>
          <w:tcPr>
            <w:tcW w:w="48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OREO, net</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19,303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3,392</w:t>
            </w:r>
          </w:p>
        </w:tc>
      </w:tr>
      <w:tr>
        <w:trPr>
          <w:trHeight w:val="180"/>
        </w:trPr>
        <w:tc>
          <w:tcPr>
            <w:tcW w:w="48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Total nonperforming assets</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47,098</w:t>
            </w:r>
          </w:p>
        </w:tc>
        <w:tc>
          <w:tcPr>
            <w:tcW w:w="260" w:type="dxa"/>
            <w:vAlign w:val="bottom"/>
          </w:tcPr>
          <w:p>
            <w:pPr>
              <w:spacing w:after="0"/>
              <w:rPr>
                <w:sz w:val="15"/>
                <w:szCs w:val="15"/>
                <w:color w:val="auto"/>
              </w:rPr>
            </w:pP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21,302</w:t>
            </w:r>
          </w:p>
        </w:tc>
        <w:tc>
          <w:tcPr>
            <w:tcW w:w="240" w:type="dxa"/>
            <w:vAlign w:val="bottom"/>
          </w:tcPr>
          <w:p>
            <w:pPr>
              <w:spacing w:after="0"/>
              <w:rPr>
                <w:sz w:val="15"/>
                <w:szCs w:val="15"/>
                <w:color w:val="auto"/>
              </w:rPr>
            </w:pPr>
          </w:p>
        </w:tc>
        <w:tc>
          <w:tcPr>
            <w:tcW w:w="2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4,930</w:t>
            </w:r>
          </w:p>
        </w:tc>
        <w:tc>
          <w:tcPr>
            <w:tcW w:w="2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6,893</w:t>
            </w:r>
          </w:p>
        </w:tc>
        <w:tc>
          <w:tcPr>
            <w:tcW w:w="2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17,739</w:t>
            </w:r>
          </w:p>
        </w:tc>
        <w:tc>
          <w:tcPr>
            <w:tcW w:w="140" w:type="dxa"/>
            <w:vAlign w:val="bottom"/>
          </w:tcPr>
          <w:p>
            <w:pPr>
              <w:spacing w:after="0"/>
              <w:rPr>
                <w:sz w:val="15"/>
                <w:szCs w:val="15"/>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80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Modified loans / Performing TDRs</w:t>
            </w:r>
          </w:p>
        </w:tc>
        <w:tc>
          <w:tcPr>
            <w:tcW w:w="200" w:type="dxa"/>
            <w:vAlign w:val="bottom"/>
            <w:tcBorders>
              <w:bottom w:val="single" w:sz="8" w:color="auto"/>
            </w:tcBorders>
            <w:shd w:val="clear" w:color="auto" w:fill="CFF0FC"/>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6,467</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9,460</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7,817</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5,293</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2,159</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32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nonperforming loans and performing modified</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loans/TDRs</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34,262</w:t>
            </w:r>
          </w:p>
        </w:tc>
        <w:tc>
          <w:tcPr>
            <w:tcW w:w="26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30,762</w:t>
            </w:r>
          </w:p>
        </w:tc>
        <w:tc>
          <w:tcPr>
            <w:tcW w:w="2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12,747</w:t>
            </w:r>
          </w:p>
        </w:tc>
        <w:tc>
          <w:tcPr>
            <w:tcW w:w="24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26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16,506</w:t>
            </w:r>
          </w:p>
        </w:tc>
        <w:tc>
          <w:tcPr>
            <w:tcW w:w="140" w:type="dxa"/>
            <w:vAlign w:val="bottom"/>
          </w:tcPr>
          <w:p>
            <w:pPr>
              <w:spacing w:after="0"/>
              <w:rPr>
                <w:sz w:val="17"/>
                <w:szCs w:val="17"/>
                <w:color w:val="auto"/>
              </w:rPr>
            </w:pPr>
          </w:p>
        </w:tc>
      </w:tr>
      <w:tr>
        <w:trPr>
          <w:trHeight w:val="170"/>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480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Percentage of nonperforming loans and performing</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80"/>
        </w:trPr>
        <w:tc>
          <w:tcPr>
            <w:tcW w:w="480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modified loans/TDRs to total loans, at amortized</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93"/>
        </w:trPr>
        <w:tc>
          <w:tcPr>
            <w:tcW w:w="4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cost</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0.40%</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0.35%</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0.14%</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0.15%</w:t>
            </w:r>
          </w:p>
        </w:tc>
        <w:tc>
          <w:tcPr>
            <w:tcW w:w="2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347"/>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loans,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3"/>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at amortized cost, and OREO</w:t>
            </w:r>
          </w:p>
        </w:tc>
        <w:tc>
          <w:tcPr>
            <w:tcW w:w="2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0.55%</w:t>
            </w:r>
          </w:p>
        </w:tc>
        <w:tc>
          <w:tcPr>
            <w:tcW w:w="200" w:type="dxa"/>
            <w:vAlign w:val="bottom"/>
          </w:tcPr>
          <w:p>
            <w:pPr>
              <w:spacing w:after="0"/>
              <w:rPr>
                <w:sz w:val="16"/>
                <w:szCs w:val="16"/>
                <w:color w:val="auto"/>
              </w:rPr>
            </w:pPr>
          </w:p>
        </w:tc>
        <w:tc>
          <w:tcPr>
            <w:tcW w:w="9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0.24%</w:t>
            </w:r>
          </w:p>
        </w:tc>
        <w:tc>
          <w:tcPr>
            <w:tcW w:w="2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0.05%</w:t>
            </w:r>
          </w:p>
        </w:tc>
        <w:tc>
          <w:tcPr>
            <w:tcW w:w="2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0.09%</w:t>
            </w:r>
          </w:p>
        </w:tc>
        <w:tc>
          <w:tcPr>
            <w:tcW w:w="2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180"/>
        </w:trPr>
        <w:tc>
          <w:tcPr>
            <w:tcW w:w="48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Percentage of nonperforming assets to total assets</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0.31%</w:t>
            </w: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0.13%</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0.03%</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0.04%</w:t>
            </w: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0.12%</w:t>
            </w:r>
          </w:p>
        </w:tc>
      </w:tr>
      <w:tr>
        <w:trPr>
          <w:trHeight w:val="466"/>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58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82"/>
        </w:trPr>
        <w:tc>
          <w:tcPr>
            <w:tcW w:w="48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9" w:name="page60"/>
    <w:bookmarkEnd w:id="59"/>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Modifications of Loans to Borrowers Experiencing Financial Difficulty</w:t>
      </w:r>
    </w:p>
    <w:p>
      <w:pPr>
        <w:spacing w:after="0" w:line="180" w:lineRule="exact"/>
        <w:rPr>
          <w:sz w:val="20"/>
          <w:szCs w:val="20"/>
          <w:color w:val="auto"/>
        </w:rPr>
      </w:pPr>
    </w:p>
    <w:p>
      <w:pPr>
        <w:ind w:right="340" w:firstLine="432"/>
        <w:spacing w:after="0" w:line="247" w:lineRule="auto"/>
        <w:rPr>
          <w:sz w:val="20"/>
          <w:szCs w:val="20"/>
          <w:color w:val="auto"/>
        </w:rPr>
      </w:pPr>
      <w:r>
        <w:rPr>
          <w:rFonts w:ascii="Times New Roman" w:cs="Times New Roman" w:eastAsia="Times New Roman" w:hAnsi="Times New Roman"/>
          <w:sz w:val="16"/>
          <w:szCs w:val="16"/>
          <w:color w:val="auto"/>
        </w:rPr>
        <w:t>The Company adopted Accounting Standards Update 2022-02, Financial Instruments - Credit Losses (Topic 326) Troubled Debt Restructurings and Vintage Disclosures (“ASU 2022-02”) effective January 1, 2023. The amendments in ASU 2022-02 eliminated the recognition and measurement of TDRs and enhanced disclosures for loan modifications to borrowers experiencing financial difficulty.</w:t>
      </w:r>
    </w:p>
    <w:p>
      <w:pPr>
        <w:spacing w:after="0" w:line="152" w:lineRule="exact"/>
        <w:rPr>
          <w:sz w:val="20"/>
          <w:szCs w:val="20"/>
          <w:color w:val="auto"/>
        </w:rPr>
      </w:pPr>
    </w:p>
    <w:p>
      <w:pPr>
        <w:ind w:right="340" w:firstLine="432"/>
        <w:spacing w:after="0" w:line="249" w:lineRule="auto"/>
        <w:rPr>
          <w:sz w:val="20"/>
          <w:szCs w:val="20"/>
          <w:color w:val="auto"/>
        </w:rPr>
      </w:pPr>
      <w:r>
        <w:rPr>
          <w:rFonts w:ascii="Times New Roman" w:cs="Times New Roman" w:eastAsia="Times New Roman" w:hAnsi="Times New Roman"/>
          <w:sz w:val="16"/>
          <w:szCs w:val="16"/>
          <w:color w:val="auto"/>
        </w:rPr>
        <w:t>The table below reflects the loans by type made to borrowers experiencing financial difficulty that were modified in the years ended December 31, 2024 and December 31, 2023, and the cost basis of the loans as of December 31, 2024 and December 31, 2023.</w:t>
      </w:r>
    </w:p>
    <w:p>
      <w:pPr>
        <w:sectPr>
          <w:pgSz w:w="11900" w:h="16840" w:orient="portrait"/>
          <w:cols w:equalWidth="0" w:num="1">
            <w:col w:w="10560"/>
          </w:cols>
          <w:pgMar w:left="660" w:top="1440" w:right="680" w:bottom="1440" w:gutter="0" w:footer="0" w:header="0"/>
        </w:sectPr>
      </w:pP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color w:val="auto"/>
        </w:rPr>
        <w:t>Loan Type</w:t>
      </w:r>
    </w:p>
    <w:p>
      <w:pPr>
        <w:spacing w:after="0" w:line="356" w:lineRule="exact"/>
        <w:rPr>
          <w:sz w:val="20"/>
          <w:szCs w:val="20"/>
          <w:color w:val="auto"/>
        </w:rPr>
      </w:pPr>
    </w:p>
    <w:p>
      <w:pPr>
        <w:ind w:left="20" w:right="380"/>
        <w:spacing w:after="0" w:line="299" w:lineRule="auto"/>
        <w:rPr>
          <w:sz w:val="20"/>
          <w:szCs w:val="20"/>
          <w:color w:val="auto"/>
        </w:rPr>
      </w:pPr>
      <w:r>
        <w:rPr>
          <w:rFonts w:ascii="Times New Roman" w:cs="Times New Roman" w:eastAsia="Times New Roman" w:hAnsi="Times New Roman"/>
          <w:sz w:val="14"/>
          <w:szCs w:val="14"/>
          <w:b w:val="1"/>
          <w:bCs w:val="1"/>
          <w:color w:val="auto"/>
        </w:rPr>
        <w:t xml:space="preserve">December 31, 2024 </w:t>
      </w:r>
      <w:r>
        <w:rPr>
          <w:rFonts w:ascii="Times New Roman" w:cs="Times New Roman" w:eastAsia="Times New Roman" w:hAnsi="Times New Roman"/>
          <w:sz w:val="14"/>
          <w:szCs w:val="14"/>
          <w:color w:val="auto"/>
        </w:rPr>
        <w:t>Commercial real estate loans Commercial and industrial</w:t>
      </w:r>
    </w:p>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Commercial real estate loans</w:t>
      </w:r>
    </w:p>
    <w:p>
      <w:pPr>
        <w:ind w:left="20"/>
        <w:spacing w:after="0" w:line="234" w:lineRule="auto"/>
        <w:rPr>
          <w:sz w:val="20"/>
          <w:szCs w:val="20"/>
          <w:color w:val="auto"/>
        </w:rPr>
      </w:pPr>
      <w:r>
        <w:rPr>
          <w:rFonts w:ascii="Times New Roman" w:cs="Times New Roman" w:eastAsia="Times New Roman" w:hAnsi="Times New Roman"/>
          <w:sz w:val="16"/>
          <w:szCs w:val="16"/>
          <w:color w:val="auto"/>
        </w:rPr>
        <w:t>Commercial and industrial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Combination-Term Extension and Interest Rate</w:t>
            </w:r>
          </w:p>
        </w:tc>
      </w:tr>
      <w:tr>
        <w:trPr>
          <w:trHeight w:val="180"/>
        </w:trPr>
        <w:tc>
          <w:tcPr>
            <w:tcW w:w="120" w:type="dxa"/>
            <w:vAlign w:val="bottom"/>
          </w:tcPr>
          <w:p>
            <w:pPr>
              <w:spacing w:after="0"/>
              <w:rPr>
                <w:sz w:val="15"/>
                <w:szCs w:val="15"/>
                <w:color w:val="auto"/>
              </w:rPr>
            </w:pPr>
          </w:p>
        </w:tc>
        <w:tc>
          <w:tcPr>
            <w:tcW w:w="4080" w:type="dxa"/>
            <w:vAlign w:val="bottom"/>
            <w:gridSpan w:val="2"/>
          </w:tcPr>
          <w:p>
            <w:pPr>
              <w:jc w:val="right"/>
              <w:ind w:right="1603"/>
              <w:spacing w:after="0" w:line="180"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80" w:type="dxa"/>
            <w:vAlign w:val="bottom"/>
          </w:tcPr>
          <w:p>
            <w:pPr>
              <w:jc w:val="right"/>
              <w:ind w:right="1403"/>
              <w:spacing w:after="0" w:line="180" w:lineRule="exact"/>
              <w:rPr>
                <w:sz w:val="20"/>
                <w:szCs w:val="20"/>
                <w:color w:val="auto"/>
              </w:rPr>
            </w:pPr>
            <w:r>
              <w:rPr>
                <w:rFonts w:ascii="Times New Roman" w:cs="Times New Roman" w:eastAsia="Times New Roman" w:hAnsi="Times New Roman"/>
                <w:sz w:val="16"/>
                <w:szCs w:val="16"/>
                <w:b w:val="1"/>
                <w:bCs w:val="1"/>
                <w:color w:val="auto"/>
              </w:rPr>
              <w:t>Reduction</w:t>
            </w:r>
          </w:p>
        </w:tc>
      </w:tr>
      <w:tr>
        <w:trPr>
          <w:trHeight w:val="180"/>
        </w:trPr>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520" w:type="dxa"/>
            <w:vAlign w:val="bottom"/>
          </w:tcPr>
          <w:p>
            <w:pPr>
              <w:jc w:val="right"/>
              <w:ind w:right="203"/>
              <w:spacing w:after="0" w:line="180" w:lineRule="exact"/>
              <w:rPr>
                <w:sz w:val="20"/>
                <w:szCs w:val="20"/>
                <w:color w:val="auto"/>
              </w:rPr>
            </w:pPr>
            <w:r>
              <w:rPr>
                <w:rFonts w:ascii="Times New Roman" w:cs="Times New Roman" w:eastAsia="Times New Roman" w:hAnsi="Times New Roman"/>
                <w:sz w:val="16"/>
                <w:szCs w:val="16"/>
                <w:b w:val="1"/>
                <w:bCs w:val="1"/>
                <w:color w:val="auto"/>
              </w:rPr>
              <w:t>% of Total Class of Financing</w:t>
            </w:r>
          </w:p>
        </w:tc>
        <w:tc>
          <w:tcPr>
            <w:tcW w:w="100" w:type="dxa"/>
            <w:vAlign w:val="bottom"/>
          </w:tcPr>
          <w:p>
            <w:pPr>
              <w:spacing w:after="0"/>
              <w:rPr>
                <w:sz w:val="15"/>
                <w:szCs w:val="15"/>
                <w:color w:val="auto"/>
              </w:rPr>
            </w:pPr>
          </w:p>
        </w:tc>
        <w:tc>
          <w:tcPr>
            <w:tcW w:w="1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Amortized Cost</w:t>
            </w:r>
          </w:p>
        </w:tc>
        <w:tc>
          <w:tcPr>
            <w:tcW w:w="2280" w:type="dxa"/>
            <w:vAlign w:val="bottom"/>
          </w:tcPr>
          <w:p>
            <w:pPr>
              <w:jc w:val="right"/>
              <w:ind w:right="343"/>
              <w:spacing w:after="0" w:line="180" w:lineRule="exact"/>
              <w:rPr>
                <w:sz w:val="20"/>
                <w:szCs w:val="20"/>
                <w:color w:val="auto"/>
              </w:rPr>
            </w:pPr>
            <w:r>
              <w:rPr>
                <w:rFonts w:ascii="Times New Roman" w:cs="Times New Roman" w:eastAsia="Times New Roman" w:hAnsi="Times New Roman"/>
                <w:sz w:val="16"/>
                <w:szCs w:val="16"/>
                <w:b w:val="1"/>
                <w:bCs w:val="1"/>
                <w:color w:val="auto"/>
              </w:rPr>
              <w:t>% of Total Class of</w:t>
            </w:r>
          </w:p>
        </w:tc>
      </w:tr>
      <w:tr>
        <w:trPr>
          <w:trHeight w:val="205"/>
        </w:trPr>
        <w:tc>
          <w:tcPr>
            <w:tcW w:w="120" w:type="dxa"/>
            <w:vAlign w:val="bottom"/>
          </w:tcPr>
          <w:p>
            <w:pPr>
              <w:spacing w:after="0"/>
              <w:rPr>
                <w:sz w:val="17"/>
                <w:szCs w:val="17"/>
                <w:color w:val="auto"/>
              </w:rPr>
            </w:pPr>
          </w:p>
        </w:tc>
        <w:tc>
          <w:tcPr>
            <w:tcW w:w="156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6"/>
              </w:rPr>
              <w:t>Amortized Cost Basis</w:t>
            </w:r>
          </w:p>
        </w:tc>
        <w:tc>
          <w:tcPr>
            <w:tcW w:w="2520" w:type="dxa"/>
            <w:vAlign w:val="bottom"/>
          </w:tcPr>
          <w:p>
            <w:pPr>
              <w:jc w:val="right"/>
              <w:ind w:right="803"/>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100" w:type="dxa"/>
            <w:vAlign w:val="bottom"/>
          </w:tcPr>
          <w:p>
            <w:pPr>
              <w:spacing w:after="0"/>
              <w:rPr>
                <w:sz w:val="17"/>
                <w:szCs w:val="17"/>
                <w:color w:val="auto"/>
              </w:rPr>
            </w:pPr>
          </w:p>
        </w:tc>
        <w:tc>
          <w:tcPr>
            <w:tcW w:w="116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28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Financing Receivables</w:t>
            </w:r>
          </w:p>
        </w:tc>
      </w:tr>
      <w:tr>
        <w:trPr>
          <w:trHeight w:val="337"/>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25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40"/>
        </w:trPr>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2520" w:type="dxa"/>
            <w:vAlign w:val="bottom"/>
          </w:tcPr>
          <w:p>
            <w:pPr>
              <w:jc w:val="right"/>
              <w:ind w:right="23"/>
              <w:spacing w:after="0" w:line="240" w:lineRule="exact"/>
              <w:rPr>
                <w:sz w:val="20"/>
                <w:szCs w:val="20"/>
                <w:color w:val="auto"/>
              </w:rPr>
            </w:pPr>
            <w:r>
              <w:rPr>
                <w:rFonts w:ascii="Times New Roman" w:cs="Times New Roman" w:eastAsia="Times New Roman" w:hAnsi="Times New Roman"/>
                <w:sz w:val="14"/>
                <w:szCs w:val="14"/>
                <w:color w:val="auto"/>
              </w:rPr>
              <w:t>0.03</w:t>
            </w:r>
            <w:r>
              <w:rPr>
                <w:rFonts w:ascii="Times New Roman" w:cs="Times New Roman" w:eastAsia="Times New Roman" w:hAnsi="Times New Roman"/>
                <w:sz w:val="27"/>
                <w:szCs w:val="27"/>
                <w:color w:val="auto"/>
                <w:vertAlign w:val="subscript"/>
              </w:rPr>
              <w: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80" w:type="dxa"/>
            <w:vAlign w:val="bottom"/>
          </w:tcPr>
          <w:p>
            <w:pPr>
              <w:jc w:val="right"/>
              <w:spacing w:after="0" w:line="240" w:lineRule="exact"/>
              <w:rPr>
                <w:sz w:val="20"/>
                <w:szCs w:val="20"/>
                <w:color w:val="auto"/>
              </w:rPr>
            </w:pPr>
            <w:r>
              <w:rPr>
                <w:rFonts w:ascii="Times New Roman" w:cs="Times New Roman" w:eastAsia="Times New Roman" w:hAnsi="Times New Roman"/>
                <w:sz w:val="14"/>
                <w:szCs w:val="14"/>
                <w:color w:val="auto"/>
              </w:rPr>
              <w:t>0.00</w:t>
            </w:r>
            <w:r>
              <w:rPr>
                <w:rFonts w:ascii="Times New Roman" w:cs="Times New Roman" w:eastAsia="Times New Roman" w:hAnsi="Times New Roman"/>
                <w:sz w:val="27"/>
                <w:szCs w:val="27"/>
                <w:color w:val="auto"/>
                <w:vertAlign w:val="subscript"/>
              </w:rPr>
              <w:t>%</w:t>
            </w:r>
          </w:p>
        </w:tc>
      </w:tr>
      <w:tr>
        <w:trPr>
          <w:trHeight w:val="180"/>
        </w:trPr>
        <w:tc>
          <w:tcPr>
            <w:tcW w:w="12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25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0.00%</w:t>
            </w:r>
          </w:p>
        </w:tc>
      </w:tr>
      <w:tr>
        <w:trPr>
          <w:trHeight w:val="193"/>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25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280" w:type="dxa"/>
            <w:vAlign w:val="bottom"/>
          </w:tcPr>
          <w:p>
            <w:pPr>
              <w:spacing w:after="0"/>
              <w:rPr>
                <w:sz w:val="16"/>
                <w:szCs w:val="16"/>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503"/>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25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180"/>
        </w:trPr>
        <w:tc>
          <w:tcPr>
            <w:tcW w:w="12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1,305</w:t>
            </w:r>
          </w:p>
        </w:tc>
        <w:tc>
          <w:tcPr>
            <w:tcW w:w="25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278</w:t>
            </w:r>
          </w:p>
        </w:tc>
        <w:tc>
          <w:tcPr>
            <w:tcW w:w="2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0.00%</w:t>
            </w:r>
          </w:p>
        </w:tc>
      </w:tr>
      <w:tr>
        <w:trPr>
          <w:trHeight w:val="180"/>
        </w:trPr>
        <w:tc>
          <w:tcPr>
            <w:tcW w:w="12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4,639</w:t>
            </w:r>
          </w:p>
        </w:tc>
        <w:tc>
          <w:tcPr>
            <w:tcW w:w="25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0.00%</w:t>
            </w:r>
          </w:p>
        </w:tc>
      </w:tr>
      <w:tr>
        <w:trPr>
          <w:trHeight w:val="193"/>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8,494</w:t>
            </w:r>
          </w:p>
        </w:tc>
        <w:tc>
          <w:tcPr>
            <w:tcW w:w="25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2280" w:type="dxa"/>
            <w:vAlign w:val="bottom"/>
          </w:tcPr>
          <w:p>
            <w:pPr>
              <w:spacing w:after="0"/>
              <w:rPr>
                <w:sz w:val="16"/>
                <w:szCs w:val="16"/>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-1226820</wp:posOffset>
            </wp:positionV>
            <wp:extent cx="6707505"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-959485</wp:posOffset>
            </wp:positionV>
            <wp:extent cx="6707505" cy="114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-708025</wp:posOffset>
            </wp:positionV>
            <wp:extent cx="6707505" cy="114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-479425</wp:posOffset>
            </wp:positionV>
            <wp:extent cx="6707505" cy="114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-250825</wp:posOffset>
            </wp:positionV>
            <wp:extent cx="6707505" cy="114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2200" w:space="620"/>
            <w:col w:w="7740"/>
          </w:cols>
          <w:pgMar w:left="660" w:top="1440" w:right="680" w:bottom="1440" w:gutter="0" w:footer="0" w:header="0"/>
          <w:type w:val="continuous"/>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60" w:name="page61"/>
    <w:bookmarkEnd w:id="60"/>
    <w:p>
      <w:pPr>
        <w:spacing w:after="0" w:line="161"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describes the financial effect of the loan modifications made to borrowers experiencing financial difficulty for the years ended December 31, 2024 and December 31, 2023.</w:t>
      </w:r>
    </w:p>
    <w:p>
      <w:pPr>
        <w:spacing w:after="0" w:line="165" w:lineRule="exact"/>
        <w:rPr>
          <w:sz w:val="20"/>
          <w:szCs w:val="20"/>
          <w:color w:val="auto"/>
        </w:rPr>
      </w:pPr>
    </w:p>
    <w:p>
      <w:pPr>
        <w:ind w:left="1060"/>
        <w:spacing w:after="0"/>
        <w:tabs>
          <w:tab w:leader="none" w:pos="6280" w:val="left"/>
        </w:tabs>
        <w:rPr>
          <w:sz w:val="20"/>
          <w:szCs w:val="20"/>
          <w:color w:val="auto"/>
        </w:rPr>
      </w:pPr>
      <w:r>
        <w:rPr>
          <w:rFonts w:ascii="Times New Roman" w:cs="Times New Roman" w:eastAsia="Times New Roman" w:hAnsi="Times New Roman"/>
          <w:sz w:val="16"/>
          <w:szCs w:val="16"/>
          <w:b w:val="1"/>
          <w:bCs w:val="1"/>
          <w:color w:val="auto"/>
        </w:rPr>
        <w:t>Loan Type</w:t>
      </w:r>
      <w:r>
        <w:rPr>
          <w:sz w:val="20"/>
          <w:szCs w:val="20"/>
          <w:color w:val="auto"/>
        </w:rPr>
        <w:tab/>
      </w:r>
      <w:r>
        <w:rPr>
          <w:rFonts w:ascii="Times New Roman" w:cs="Times New Roman" w:eastAsia="Times New Roman" w:hAnsi="Times New Roman"/>
          <w:sz w:val="14"/>
          <w:szCs w:val="14"/>
          <w:b w:val="1"/>
          <w:bCs w:val="1"/>
          <w:color w:val="auto"/>
        </w:rPr>
        <w:t>Financial Effect</w:t>
      </w:r>
    </w:p>
    <w:p>
      <w:pPr>
        <w:spacing w:after="0" w:line="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b w:val="1"/>
          <w:bCs w:val="1"/>
          <w:color w:val="auto"/>
        </w:rPr>
        <w:t>Combination-Term Extension and</w:t>
      </w:r>
    </w:p>
    <w:p>
      <w:pPr>
        <w:ind w:left="4360"/>
        <w:spacing w:after="0"/>
        <w:tabs>
          <w:tab w:leader="none" w:pos="7960" w:val="left"/>
        </w:tabs>
        <w:rPr>
          <w:sz w:val="20"/>
          <w:szCs w:val="20"/>
          <w:color w:val="auto"/>
        </w:rPr>
      </w:pPr>
      <w:r>
        <w:rPr>
          <w:rFonts w:ascii="Times New Roman" w:cs="Times New Roman" w:eastAsia="Times New Roman" w:hAnsi="Times New Roman"/>
          <w:sz w:val="16"/>
          <w:szCs w:val="16"/>
          <w:b w:val="1"/>
          <w:bCs w:val="1"/>
          <w:color w:val="auto"/>
        </w:rPr>
        <w:t>Term Extension</w:t>
      </w:r>
      <w:r>
        <w:rPr>
          <w:sz w:val="20"/>
          <w:szCs w:val="20"/>
          <w:color w:val="auto"/>
        </w:rPr>
        <w:tab/>
      </w:r>
      <w:r>
        <w:rPr>
          <w:rFonts w:ascii="Times New Roman" w:cs="Times New Roman" w:eastAsia="Times New Roman" w:hAnsi="Times New Roman"/>
          <w:sz w:val="14"/>
          <w:szCs w:val="14"/>
          <w:b w:val="1"/>
          <w:bCs w:val="1"/>
          <w:color w:val="auto"/>
        </w:rPr>
        <w:t>Interest Rate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14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p>
      <w:pPr>
        <w:ind w:left="20"/>
        <w:spacing w:after="0" w:line="235" w:lineRule="auto"/>
        <w:rPr>
          <w:sz w:val="20"/>
          <w:szCs w:val="20"/>
          <w:color w:val="auto"/>
        </w:rPr>
      </w:pPr>
      <w:r>
        <w:rPr>
          <w:rFonts w:ascii="Times New Roman" w:cs="Times New Roman" w:eastAsia="Times New Roman" w:hAnsi="Times New Roman"/>
          <w:sz w:val="16"/>
          <w:szCs w:val="16"/>
          <w:b w:val="1"/>
          <w:bCs w:val="1"/>
          <w:color w:val="auto"/>
        </w:rPr>
        <w:t>December 31, 2024</w:t>
      </w:r>
    </w:p>
    <w:p>
      <w:pPr>
        <w:ind w:left="20"/>
        <w:spacing w:after="0"/>
        <w:tabs>
          <w:tab w:leader="none" w:pos="3080" w:val="left"/>
        </w:tabs>
        <w:rPr>
          <w:sz w:val="20"/>
          <w:szCs w:val="20"/>
          <w:color w:val="auto"/>
        </w:rPr>
      </w:pPr>
      <w:r>
        <w:rPr>
          <w:rFonts w:ascii="Times New Roman" w:cs="Times New Roman" w:eastAsia="Times New Roman" w:hAnsi="Times New Roman"/>
          <w:sz w:val="16"/>
          <w:szCs w:val="16"/>
          <w:color w:val="auto"/>
        </w:rPr>
        <w:t>Commercial real estate loans</w:t>
      </w:r>
      <w:r>
        <w:rPr>
          <w:sz w:val="20"/>
          <w:szCs w:val="20"/>
          <w:color w:val="auto"/>
        </w:rPr>
        <w:tab/>
      </w:r>
      <w:r>
        <w:rPr>
          <w:rFonts w:ascii="Times New Roman" w:cs="Times New Roman" w:eastAsia="Times New Roman" w:hAnsi="Times New Roman"/>
          <w:sz w:val="14"/>
          <w:szCs w:val="14"/>
          <w:color w:val="auto"/>
        </w:rPr>
        <w:t>Added a weighted-average 1.7 years to the life of loans,</w:t>
      </w:r>
    </w:p>
    <w:p>
      <w:pPr>
        <w:ind w:left="3100"/>
        <w:spacing w:after="0" w:line="235" w:lineRule="auto"/>
        <w:rPr>
          <w:sz w:val="20"/>
          <w:szCs w:val="20"/>
          <w:color w:val="auto"/>
        </w:rPr>
      </w:pPr>
      <w:r>
        <w:rPr>
          <w:rFonts w:ascii="Times New Roman" w:cs="Times New Roman" w:eastAsia="Times New Roman" w:hAnsi="Times New Roman"/>
          <w:sz w:val="16"/>
          <w:szCs w:val="16"/>
          <w:color w:val="auto"/>
        </w:rPr>
        <w:t>which reduced monthly payment amounts for the</w:t>
      </w:r>
    </w:p>
    <w:p>
      <w:pPr>
        <w:ind w:left="3100"/>
        <w:spacing w:after="0"/>
        <w:rPr>
          <w:sz w:val="20"/>
          <w:szCs w:val="20"/>
          <w:color w:val="auto"/>
        </w:rPr>
      </w:pPr>
      <w:r>
        <w:rPr>
          <w:rFonts w:ascii="Times New Roman" w:cs="Times New Roman" w:eastAsia="Times New Roman" w:hAnsi="Times New Roman"/>
          <w:sz w:val="16"/>
          <w:szCs w:val="16"/>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6707505" cy="3429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07505"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firstLine="39"/>
        <w:spacing w:after="0"/>
        <w:rPr>
          <w:sz w:val="20"/>
          <w:szCs w:val="20"/>
          <w:color w:val="auto"/>
        </w:rPr>
      </w:pPr>
      <w:r>
        <w:rPr>
          <w:rFonts w:ascii="Times New Roman" w:cs="Times New Roman" w:eastAsia="Times New Roman" w:hAnsi="Times New Roman"/>
          <w:sz w:val="16"/>
          <w:szCs w:val="16"/>
          <w:color w:val="auto"/>
        </w:rPr>
        <w:t>Added a weighted-average 7.6 years to the life of loans, which reduced monthly payment amounts for the borrowers; reduced weighted-average contractual interest rate from 10.00% to 7.25%.</w:t>
      </w:r>
    </w:p>
    <w:p>
      <w:pPr>
        <w:spacing w:after="0" w:line="1" w:lineRule="exact"/>
        <w:rPr>
          <w:sz w:val="20"/>
          <w:szCs w:val="20"/>
          <w:color w:val="auto"/>
        </w:rPr>
      </w:pPr>
    </w:p>
    <w:p>
      <w:pPr>
        <w:sectPr>
          <w:pgSz w:w="11900" w:h="16840" w:orient="portrait"/>
          <w:cols w:equalWidth="0" w:num="2">
            <w:col w:w="6580" w:space="400"/>
            <w:col w:w="3580"/>
          </w:cols>
          <w:pgMar w:left="660" w:top="1440" w:right="680" w:bottom="1440" w:gutter="0" w:footer="0" w:header="0"/>
          <w:type w:val="continuous"/>
        </w:sectPr>
      </w:pPr>
    </w:p>
    <w:tbl>
      <w:tblPr>
        <w:tblLayout w:type="fixed"/>
        <w:tblInd w:w="20" w:type="dxa"/>
        <w:tblCellMar>
          <w:top w:w="0" w:type="dxa"/>
          <w:left w:w="0" w:type="dxa"/>
          <w:bottom w:w="0" w:type="dxa"/>
          <w:right w:w="0" w:type="dxa"/>
        </w:tblCellMar>
      </w:tblPr>
      <w:tr>
        <w:trPr>
          <w:trHeight w:val="164"/>
        </w:trPr>
        <w:tc>
          <w:tcPr>
            <w:tcW w:w="26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Commercial and industrial</w:t>
            </w:r>
          </w:p>
        </w:tc>
        <w:tc>
          <w:tcPr>
            <w:tcW w:w="3920" w:type="dxa"/>
            <w:vAlign w:val="bottom"/>
          </w:tcPr>
          <w:p>
            <w:pPr>
              <w:ind w:left="440"/>
              <w:spacing w:after="0" w:line="165" w:lineRule="exact"/>
              <w:rPr>
                <w:sz w:val="20"/>
                <w:szCs w:val="20"/>
                <w:color w:val="auto"/>
              </w:rPr>
            </w:pPr>
            <w:r>
              <w:rPr>
                <w:rFonts w:ascii="Times New Roman" w:cs="Times New Roman" w:eastAsia="Times New Roman" w:hAnsi="Times New Roman"/>
                <w:sz w:val="16"/>
                <w:szCs w:val="16"/>
                <w:color w:val="auto"/>
                <w:w w:val="96"/>
              </w:rPr>
              <w:t>Added a weighted-average 1.2 years to the life of loans,</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392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rPr>
              <w:t>which reduced monthly payment amounts for the</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392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rPr>
              <w:t>borrowers.</w:t>
            </w:r>
          </w:p>
        </w:tc>
        <w:tc>
          <w:tcPr>
            <w:tcW w:w="0" w:type="dxa"/>
            <w:vAlign w:val="bottom"/>
          </w:tcPr>
          <w:p>
            <w:pPr>
              <w:spacing w:after="0"/>
              <w:rPr>
                <w:sz w:val="1"/>
                <w:szCs w:val="1"/>
                <w:color w:val="auto"/>
              </w:rPr>
            </w:pP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392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w w:val="96"/>
              </w:rPr>
              <w:t>Added a weighted-average 0.9 years to the life of loans,</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392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rPr>
              <w:t>which reduced monthly payment amounts for the</w:t>
            </w:r>
          </w:p>
        </w:tc>
        <w:tc>
          <w:tcPr>
            <w:tcW w:w="0" w:type="dxa"/>
            <w:vAlign w:val="bottom"/>
          </w:tcPr>
          <w:p>
            <w:pPr>
              <w:spacing w:after="0"/>
              <w:rPr>
                <w:sz w:val="1"/>
                <w:szCs w:val="1"/>
                <w:color w:val="auto"/>
              </w:rPr>
            </w:pPr>
          </w:p>
        </w:tc>
      </w:tr>
      <w:tr>
        <w:trPr>
          <w:trHeight w:val="203"/>
        </w:trPr>
        <w:tc>
          <w:tcPr>
            <w:tcW w:w="2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9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borrowers.</w:t>
            </w:r>
          </w:p>
        </w:tc>
        <w:tc>
          <w:tcPr>
            <w:tcW w:w="0" w:type="dxa"/>
            <w:vAlign w:val="bottom"/>
          </w:tcPr>
          <w:p>
            <w:pPr>
              <w:spacing w:after="0"/>
              <w:rPr>
                <w:sz w:val="1"/>
                <w:szCs w:val="1"/>
                <w:color w:val="auto"/>
              </w:rPr>
            </w:pPr>
          </w:p>
        </w:tc>
      </w:tr>
      <w:tr>
        <w:trPr>
          <w:trHeight w:val="157"/>
        </w:trPr>
        <w:tc>
          <w:tcPr>
            <w:tcW w:w="264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392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w w:val="96"/>
              </w:rPr>
              <w:t>Added a weighted-average 1.0 years to the life of loans,</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392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rPr>
              <w:t>which reduced monthly payment amounts for the</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9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borrowers.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-462915</wp:posOffset>
            </wp:positionV>
            <wp:extent cx="6707505" cy="114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t>
      </w:r>
    </w:p>
    <w:p>
      <w:pPr>
        <w:spacing w:after="0" w:line="35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t>
      </w:r>
    </w:p>
    <w:p>
      <w:pPr>
        <w:spacing w:after="0" w:line="35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Added a weighted-average 7.6 years to the life of loans, which reduced monthly payment amounts for the borrowers; reduced weighted-average contractual interest rate from 10% to 7.25%.</w:t>
      </w:r>
    </w:p>
    <w:p>
      <w:pPr>
        <w:spacing w:after="0" w:line="1" w:lineRule="exact"/>
        <w:rPr>
          <w:sz w:val="20"/>
          <w:szCs w:val="20"/>
          <w:color w:val="auto"/>
        </w:rPr>
      </w:pPr>
    </w:p>
    <w:p>
      <w:pPr>
        <w:sectPr>
          <w:pgSz w:w="11900" w:h="16840" w:orient="portrait"/>
          <w:cols w:equalWidth="0" w:num="2">
            <w:col w:w="6580" w:space="400"/>
            <w:col w:w="3580"/>
          </w:cols>
          <w:pgMar w:left="660" w:top="1440" w:right="680"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660" w:type="dxa"/>
            <w:vAlign w:val="bottom"/>
            <w:shd w:val="clear" w:color="auto" w:fill="CFF0FC"/>
          </w:tcPr>
          <w:p>
            <w:pPr>
              <w:ind w:left="20"/>
              <w:spacing w:after="0" w:line="171" w:lineRule="exact"/>
              <w:rPr>
                <w:sz w:val="20"/>
                <w:szCs w:val="20"/>
                <w:color w:val="auto"/>
              </w:rPr>
            </w:pPr>
            <w:r>
              <w:rPr>
                <w:rFonts w:ascii="Times New Roman" w:cs="Times New Roman" w:eastAsia="Times New Roman" w:hAnsi="Times New Roman"/>
                <w:sz w:val="16"/>
                <w:szCs w:val="16"/>
                <w:color w:val="auto"/>
              </w:rPr>
              <w:t>Commercial and industrial</w:t>
            </w:r>
          </w:p>
        </w:tc>
        <w:tc>
          <w:tcPr>
            <w:tcW w:w="4120" w:type="dxa"/>
            <w:vAlign w:val="bottom"/>
            <w:shd w:val="clear" w:color="auto" w:fill="CFF0FC"/>
          </w:tcPr>
          <w:p>
            <w:pPr>
              <w:ind w:left="440"/>
              <w:spacing w:after="0" w:line="171" w:lineRule="exact"/>
              <w:rPr>
                <w:sz w:val="20"/>
                <w:szCs w:val="20"/>
                <w:color w:val="auto"/>
              </w:rPr>
            </w:pPr>
            <w:r>
              <w:rPr>
                <w:rFonts w:ascii="Times New Roman" w:cs="Times New Roman" w:eastAsia="Times New Roman" w:hAnsi="Times New Roman"/>
                <w:sz w:val="16"/>
                <w:szCs w:val="16"/>
                <w:color w:val="auto"/>
              </w:rPr>
              <w:t>Added a weighted-average 0.3 years to the life of loans,</w:t>
            </w:r>
          </w:p>
        </w:tc>
        <w:tc>
          <w:tcPr>
            <w:tcW w:w="3780" w:type="dxa"/>
            <w:vAlign w:val="bottom"/>
            <w:shd w:val="clear" w:color="auto" w:fill="CFF0FC"/>
          </w:tcPr>
          <w:p>
            <w:pPr>
              <w:ind w:left="200"/>
              <w:spacing w:after="0" w:line="171" w:lineRule="exact"/>
              <w:rPr>
                <w:sz w:val="20"/>
                <w:szCs w:val="20"/>
                <w:color w:val="auto"/>
              </w:rPr>
            </w:pPr>
            <w:r>
              <w:rPr>
                <w:rFonts w:ascii="Times New Roman" w:cs="Times New Roman" w:eastAsia="Times New Roman" w:hAnsi="Times New Roman"/>
                <w:sz w:val="16"/>
                <w:szCs w:val="16"/>
                <w:color w:val="auto"/>
                <w:w w:val="99"/>
              </w:rPr>
              <w:t>Added a weighted-average 2.0 years to the life of loans,</w:t>
            </w:r>
          </w:p>
        </w:tc>
      </w:tr>
      <w:tr>
        <w:trPr>
          <w:trHeight w:val="180"/>
        </w:trPr>
        <w:tc>
          <w:tcPr>
            <w:tcW w:w="2660" w:type="dxa"/>
            <w:vAlign w:val="bottom"/>
            <w:shd w:val="clear" w:color="auto" w:fill="CFF0FC"/>
          </w:tcPr>
          <w:p>
            <w:pPr>
              <w:spacing w:after="0"/>
              <w:rPr>
                <w:sz w:val="15"/>
                <w:szCs w:val="15"/>
                <w:color w:val="auto"/>
              </w:rPr>
            </w:pPr>
          </w:p>
        </w:tc>
        <w:tc>
          <w:tcPr>
            <w:tcW w:w="4120" w:type="dxa"/>
            <w:vAlign w:val="bottom"/>
            <w:shd w:val="clear" w:color="auto" w:fill="CFF0FC"/>
          </w:tcPr>
          <w:p>
            <w:pPr>
              <w:ind w:left="440"/>
              <w:spacing w:after="0" w:line="180" w:lineRule="exact"/>
              <w:rPr>
                <w:sz w:val="20"/>
                <w:szCs w:val="20"/>
                <w:color w:val="auto"/>
              </w:rPr>
            </w:pPr>
            <w:r>
              <w:rPr>
                <w:rFonts w:ascii="Times New Roman" w:cs="Times New Roman" w:eastAsia="Times New Roman" w:hAnsi="Times New Roman"/>
                <w:sz w:val="16"/>
                <w:szCs w:val="16"/>
                <w:color w:val="auto"/>
              </w:rPr>
              <w:t>which reduced monthly payment amounts for the</w:t>
            </w:r>
          </w:p>
        </w:tc>
        <w:tc>
          <w:tcPr>
            <w:tcW w:w="378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which reduced monthly payment amounts for the</w:t>
            </w:r>
          </w:p>
        </w:tc>
      </w:tr>
      <w:tr>
        <w:trPr>
          <w:trHeight w:val="180"/>
        </w:trPr>
        <w:tc>
          <w:tcPr>
            <w:tcW w:w="2660" w:type="dxa"/>
            <w:vAlign w:val="bottom"/>
            <w:shd w:val="clear" w:color="auto" w:fill="CFF0FC"/>
          </w:tcPr>
          <w:p>
            <w:pPr>
              <w:spacing w:after="0"/>
              <w:rPr>
                <w:sz w:val="15"/>
                <w:szCs w:val="15"/>
                <w:color w:val="auto"/>
              </w:rPr>
            </w:pPr>
          </w:p>
        </w:tc>
        <w:tc>
          <w:tcPr>
            <w:tcW w:w="4120" w:type="dxa"/>
            <w:vAlign w:val="bottom"/>
            <w:shd w:val="clear" w:color="auto" w:fill="CFF0FC"/>
          </w:tcPr>
          <w:p>
            <w:pPr>
              <w:ind w:left="440"/>
              <w:spacing w:after="0" w:line="180" w:lineRule="exact"/>
              <w:rPr>
                <w:sz w:val="20"/>
                <w:szCs w:val="20"/>
                <w:color w:val="auto"/>
              </w:rPr>
            </w:pPr>
            <w:r>
              <w:rPr>
                <w:rFonts w:ascii="Times New Roman" w:cs="Times New Roman" w:eastAsia="Times New Roman" w:hAnsi="Times New Roman"/>
                <w:sz w:val="16"/>
                <w:szCs w:val="16"/>
                <w:color w:val="auto"/>
              </w:rPr>
              <w:t>borrowers.</w:t>
            </w:r>
          </w:p>
        </w:tc>
        <w:tc>
          <w:tcPr>
            <w:tcW w:w="378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w w:val="96"/>
              </w:rPr>
              <w:t>borrowers; reduced weighted-average contractual interest</w:t>
            </w:r>
          </w:p>
        </w:tc>
      </w:tr>
      <w:tr>
        <w:trPr>
          <w:trHeight w:val="193"/>
        </w:trPr>
        <w:tc>
          <w:tcPr>
            <w:tcW w:w="2660" w:type="dxa"/>
            <w:vAlign w:val="bottom"/>
            <w:shd w:val="clear" w:color="auto" w:fill="CFF0FC"/>
          </w:tcPr>
          <w:p>
            <w:pPr>
              <w:spacing w:after="0"/>
              <w:rPr>
                <w:sz w:val="16"/>
                <w:szCs w:val="16"/>
                <w:color w:val="auto"/>
              </w:rPr>
            </w:pPr>
          </w:p>
        </w:tc>
        <w:tc>
          <w:tcPr>
            <w:tcW w:w="4120" w:type="dxa"/>
            <w:vAlign w:val="bottom"/>
            <w:shd w:val="clear" w:color="auto" w:fill="CFF0FC"/>
          </w:tcPr>
          <w:p>
            <w:pPr>
              <w:spacing w:after="0"/>
              <w:rPr>
                <w:sz w:val="16"/>
                <w:szCs w:val="16"/>
                <w:color w:val="auto"/>
              </w:rPr>
            </w:pPr>
          </w:p>
        </w:tc>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rate from 10% to 7.75%.</w:t>
            </w:r>
          </w:p>
        </w:tc>
      </w:tr>
      <w:tr>
        <w:trPr>
          <w:trHeight w:val="167"/>
        </w:trPr>
        <w:tc>
          <w:tcPr>
            <w:tcW w:w="26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4120" w:type="dxa"/>
            <w:vAlign w:val="bottom"/>
          </w:tcPr>
          <w:p>
            <w:pPr>
              <w:ind w:left="440"/>
              <w:spacing w:after="0" w:line="167" w:lineRule="exact"/>
              <w:rPr>
                <w:sz w:val="20"/>
                <w:szCs w:val="20"/>
                <w:color w:val="auto"/>
              </w:rPr>
            </w:pPr>
            <w:r>
              <w:rPr>
                <w:rFonts w:ascii="Times New Roman" w:cs="Times New Roman" w:eastAsia="Times New Roman" w:hAnsi="Times New Roman"/>
                <w:sz w:val="16"/>
                <w:szCs w:val="16"/>
                <w:color w:val="auto"/>
              </w:rPr>
              <w:t>Added a weighted-average 0.5 years to the life of loans,</w:t>
            </w:r>
          </w:p>
        </w:tc>
        <w:tc>
          <w:tcPr>
            <w:tcW w:w="3780" w:type="dxa"/>
            <w:vAlign w:val="bottom"/>
          </w:tcPr>
          <w:p>
            <w:pPr>
              <w:spacing w:after="0"/>
              <w:rPr>
                <w:sz w:val="14"/>
                <w:szCs w:val="14"/>
                <w:color w:val="auto"/>
              </w:rPr>
            </w:pPr>
          </w:p>
        </w:tc>
      </w:tr>
      <w:tr>
        <w:trPr>
          <w:trHeight w:val="180"/>
        </w:trPr>
        <w:tc>
          <w:tcPr>
            <w:tcW w:w="2660" w:type="dxa"/>
            <w:vAlign w:val="bottom"/>
          </w:tcPr>
          <w:p>
            <w:pPr>
              <w:spacing w:after="0"/>
              <w:rPr>
                <w:sz w:val="15"/>
                <w:szCs w:val="15"/>
                <w:color w:val="auto"/>
              </w:rPr>
            </w:pPr>
          </w:p>
        </w:tc>
        <w:tc>
          <w:tcPr>
            <w:tcW w:w="412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rPr>
              <w:t>which reduced monthly payment amounts for the</w:t>
            </w:r>
          </w:p>
        </w:tc>
        <w:tc>
          <w:tcPr>
            <w:tcW w:w="3780" w:type="dxa"/>
            <w:vAlign w:val="bottom"/>
          </w:tcPr>
          <w:p>
            <w:pPr>
              <w:ind w:left="19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2660" w:type="dxa"/>
            <w:vAlign w:val="bottom"/>
          </w:tcPr>
          <w:p>
            <w:pPr>
              <w:spacing w:after="0"/>
              <w:rPr>
                <w:sz w:val="17"/>
                <w:szCs w:val="17"/>
                <w:color w:val="auto"/>
              </w:rPr>
            </w:pPr>
          </w:p>
        </w:tc>
        <w:tc>
          <w:tcPr>
            <w:tcW w:w="41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borrowers.</w:t>
            </w:r>
          </w:p>
        </w:tc>
        <w:tc>
          <w:tcPr>
            <w:tcW w:w="3780" w:type="dxa"/>
            <w:vAlign w:val="bottom"/>
          </w:tcPr>
          <w:p>
            <w:pPr>
              <w:spacing w:after="0"/>
              <w:rPr>
                <w:sz w:val="17"/>
                <w:szCs w:val="17"/>
                <w:color w:val="auto"/>
              </w:rPr>
            </w:pPr>
          </w:p>
        </w:tc>
      </w:tr>
    </w:tbl>
    <w:p>
      <w:pPr>
        <w:spacing w:after="0" w:line="157" w:lineRule="exact"/>
        <w:rPr>
          <w:sz w:val="20"/>
          <w:szCs w:val="20"/>
          <w:color w:val="auto"/>
        </w:rPr>
      </w:pPr>
    </w:p>
    <w:p>
      <w:pPr>
        <w:ind w:right="120" w:firstLine="432"/>
        <w:spacing w:after="0" w:line="247" w:lineRule="auto"/>
        <w:rPr>
          <w:sz w:val="20"/>
          <w:szCs w:val="20"/>
          <w:color w:val="auto"/>
        </w:rPr>
      </w:pPr>
      <w:r>
        <w:rPr>
          <w:rFonts w:ascii="Times New Roman" w:cs="Times New Roman" w:eastAsia="Times New Roman" w:hAnsi="Times New Roman"/>
          <w:sz w:val="16"/>
          <w:szCs w:val="16"/>
          <w:color w:val="auto"/>
        </w:rPr>
        <w:t>As of December 31, 2024 and December 31, 2023, the Company did not have any loans made to borrowers experiencing financial difficulty that were modified on or after January 1, 2023, that subsequently defaulted. Payment default is defined as movement to nonaccrual (nonperforming) status, foreclosure or charge-off, whichever occurs first.</w:t>
      </w:r>
    </w:p>
    <w:p>
      <w:pPr>
        <w:spacing w:after="0" w:line="152" w:lineRule="exact"/>
        <w:rPr>
          <w:sz w:val="20"/>
          <w:szCs w:val="20"/>
          <w:color w:val="auto"/>
        </w:rPr>
      </w:pPr>
    </w:p>
    <w:p>
      <w:pPr>
        <w:ind w:right="440" w:firstLine="432"/>
        <w:spacing w:after="0" w:line="331" w:lineRule="auto"/>
        <w:rPr>
          <w:sz w:val="20"/>
          <w:szCs w:val="20"/>
          <w:color w:val="auto"/>
        </w:rPr>
      </w:pPr>
      <w:r>
        <w:rPr>
          <w:rFonts w:ascii="Times New Roman" w:cs="Times New Roman" w:eastAsia="Times New Roman" w:hAnsi="Times New Roman"/>
          <w:sz w:val="14"/>
          <w:szCs w:val="14"/>
          <w:color w:val="auto"/>
        </w:rPr>
        <w:t>The following table presents as of December 31, 2024, the recorded investment in, and the aging of, past due loans at amortized cost (including nonaccrual loans), by type of loans, made to borrowers experiencing financial difficulty that were modified on or after January 1, 2023, the date we adopted ASU 2022-02.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Payment Status (amortized cost basis)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tcPr>
          <w:p>
            <w:pPr>
              <w:jc w:val="center"/>
              <w:ind w:right="640"/>
              <w:spacing w:after="0" w:line="180" w:lineRule="exact"/>
              <w:rPr>
                <w:sz w:val="20"/>
                <w:szCs w:val="20"/>
                <w:color w:val="auto"/>
              </w:rPr>
            </w:pPr>
            <w:r>
              <w:rPr>
                <w:rFonts w:ascii="Times New Roman" w:cs="Times New Roman" w:eastAsia="Times New Roman" w:hAnsi="Times New Roman"/>
                <w:sz w:val="16"/>
                <w:szCs w:val="16"/>
                <w:b w:val="1"/>
                <w:bCs w:val="1"/>
                <w:color w:val="auto"/>
                <w:w w:val="95"/>
              </w:rPr>
              <w:t>30-89 Days</w:t>
            </w:r>
          </w:p>
        </w:tc>
        <w:tc>
          <w:tcPr>
            <w:tcW w:w="320" w:type="dxa"/>
            <w:vAlign w:val="bottom"/>
          </w:tcPr>
          <w:p>
            <w:pPr>
              <w:spacing w:after="0"/>
              <w:rPr>
                <w:sz w:val="15"/>
                <w:szCs w:val="15"/>
                <w:color w:val="auto"/>
              </w:rPr>
            </w:pPr>
          </w:p>
        </w:tc>
        <w:tc>
          <w:tcPr>
            <w:tcW w:w="152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b w:val="1"/>
                <w:bCs w:val="1"/>
                <w:color w:val="auto"/>
              </w:rPr>
              <w:t>90+ Days</w:t>
            </w:r>
          </w:p>
        </w:tc>
      </w:tr>
      <w:tr>
        <w:trPr>
          <w:trHeight w:val="180"/>
        </w:trPr>
        <w:tc>
          <w:tcPr>
            <w:tcW w:w="4220" w:type="dxa"/>
            <w:vAlign w:val="bottom"/>
          </w:tcPr>
          <w:p>
            <w:pPr>
              <w:spacing w:after="0"/>
              <w:rPr>
                <w:sz w:val="15"/>
                <w:szCs w:val="15"/>
                <w:color w:val="auto"/>
              </w:rPr>
            </w:pPr>
          </w:p>
        </w:tc>
        <w:tc>
          <w:tcPr>
            <w:tcW w:w="1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Current</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tcPr>
          <w:p>
            <w:pPr>
              <w:jc w:val="center"/>
              <w:ind w:right="6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Past Due</w:t>
            </w:r>
          </w:p>
        </w:tc>
        <w:tc>
          <w:tcPr>
            <w:tcW w:w="320" w:type="dxa"/>
            <w:vAlign w:val="bottom"/>
          </w:tcPr>
          <w:p>
            <w:pPr>
              <w:spacing w:after="0"/>
              <w:rPr>
                <w:sz w:val="15"/>
                <w:szCs w:val="15"/>
                <w:color w:val="auto"/>
              </w:rPr>
            </w:pPr>
          </w:p>
        </w:tc>
        <w:tc>
          <w:tcPr>
            <w:tcW w:w="152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b w:val="1"/>
                <w:bCs w:val="1"/>
                <w:color w:val="auto"/>
              </w:rPr>
              <w:t>Past Due</w:t>
            </w:r>
          </w:p>
        </w:tc>
      </w:tr>
      <w:tr>
        <w:trPr>
          <w:trHeight w:val="195"/>
        </w:trPr>
        <w:tc>
          <w:tcPr>
            <w:tcW w:w="4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i w:val="1"/>
                <w:iCs w:val="1"/>
                <w:color w:val="auto"/>
                <w:w w:val="97"/>
              </w:rPr>
              <w:t>(Dollars in thousands)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22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1280" w:type="dxa"/>
            <w:vAlign w:val="bottom"/>
            <w:shd w:val="clear" w:color="auto" w:fill="CFF0FC"/>
          </w:tcPr>
          <w:p>
            <w:pPr>
              <w:jc w:val="right"/>
              <w:ind w:right="1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2,863</w:t>
            </w:r>
          </w:p>
        </w:tc>
        <w:tc>
          <w:tcPr>
            <w:tcW w:w="6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shd w:val="clear" w:color="auto" w:fill="CFF0FC"/>
          </w:tcPr>
          <w:p>
            <w:pPr>
              <w:ind w:left="1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4"/>
        </w:trPr>
        <w:tc>
          <w:tcPr>
            <w:tcW w:w="42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52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ind w:left="1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tcPr>
          <w:p>
            <w:pPr>
              <w:ind w:left="400"/>
              <w:spacing w:after="0" w:line="180" w:lineRule="exact"/>
              <w:rPr>
                <w:sz w:val="20"/>
                <w:szCs w:val="20"/>
                <w:color w:val="auto"/>
              </w:rPr>
            </w:pPr>
            <w:r>
              <w:rPr>
                <w:rFonts w:ascii="Times New Roman" w:cs="Times New Roman" w:eastAsia="Times New Roman" w:hAnsi="Times New Roman"/>
                <w:sz w:val="16"/>
                <w:szCs w:val="16"/>
                <w:color w:val="auto"/>
              </w:rPr>
              <w:t>SFR mortgage loans</w:t>
            </w:r>
          </w:p>
        </w:tc>
        <w:tc>
          <w:tcPr>
            <w:tcW w:w="128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tcPr>
          <w:p>
            <w:pPr>
              <w:ind w:left="1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2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Consumer and other loans</w:t>
            </w: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ind w:left="1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tcPr>
          <w:p>
            <w:pPr>
              <w:ind w:left="52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tcPr>
          <w:p>
            <w:pPr>
              <w:jc w:val="right"/>
              <w:ind w:right="1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6,467</w:t>
            </w:r>
          </w:p>
        </w:tc>
        <w:tc>
          <w:tcPr>
            <w:tcW w:w="62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tcPr>
          <w:p>
            <w:pPr>
              <w:ind w:left="14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ind w:left="1280"/>
              <w:spacing w:after="0" w:line="16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4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7" w:lineRule="exact"/>
        <w:rPr>
          <w:sz w:val="20"/>
          <w:szCs w:val="20"/>
          <w:color w:val="auto"/>
        </w:rPr>
      </w:pPr>
    </w:p>
    <w:p>
      <w:pPr>
        <w:ind w:right="200" w:firstLine="600"/>
        <w:spacing w:after="0" w:line="259" w:lineRule="auto"/>
        <w:rPr>
          <w:sz w:val="20"/>
          <w:szCs w:val="20"/>
          <w:color w:val="auto"/>
        </w:rPr>
      </w:pPr>
      <w:r>
        <w:rPr>
          <w:rFonts w:ascii="Times New Roman" w:cs="Times New Roman" w:eastAsia="Times New Roman" w:hAnsi="Times New Roman"/>
          <w:sz w:val="16"/>
          <w:szCs w:val="16"/>
          <w:color w:val="auto"/>
        </w:rPr>
        <w:t>At December 31, 2024 and December 31, 2023, there was no ACL allocated to modified loans to borrowers experiencing financial difficulty under the ASU 2022-02. Impairment amounts identified are typically charged off against the</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61" w:name="page62"/>
    <w:bookmarkEnd w:id="61"/>
    <w:p>
      <w:pPr>
        <w:ind w:right="180"/>
        <w:spacing w:after="0" w:line="259" w:lineRule="auto"/>
        <w:rPr>
          <w:sz w:val="20"/>
          <w:szCs w:val="20"/>
          <w:color w:val="auto"/>
        </w:rPr>
      </w:pPr>
      <w:r>
        <w:rPr>
          <w:rFonts w:ascii="Times New Roman" w:cs="Times New Roman" w:eastAsia="Times New Roman" w:hAnsi="Times New Roman"/>
          <w:sz w:val="16"/>
          <w:szCs w:val="16"/>
          <w:color w:val="auto"/>
        </w:rPr>
        <w:t>allowance at the time the loan is considered uncollectible. There were no charge-offs on modified loans to borrowers experiencing financial difficulty during the years ending December 31, 2024 and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Nonperforming Assets and Delinquencies</w:t>
      </w:r>
    </w:p>
    <w:p>
      <w:pPr>
        <w:spacing w:after="0" w:line="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table below provides trends in our nonperforming assets and delinquencies as of the dates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Pr>
          <w:p>
            <w:pPr>
              <w:spacing w:after="0"/>
              <w:rPr>
                <w:sz w:val="13"/>
                <w:szCs w:val="13"/>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right"/>
              <w:ind w:right="420"/>
              <w:spacing w:after="0"/>
              <w:rPr>
                <w:sz w:val="20"/>
                <w:szCs w:val="20"/>
                <w:color w:val="auto"/>
              </w:rPr>
            </w:pPr>
            <w:r>
              <w:rPr>
                <w:rFonts w:ascii="Times New Roman" w:cs="Times New Roman" w:eastAsia="Times New Roman" w:hAnsi="Times New Roman"/>
                <w:sz w:val="13"/>
                <w:szCs w:val="13"/>
                <w:i w:val="1"/>
                <w:iCs w:val="1"/>
                <w:color w:val="auto"/>
                <w:w w:val="98"/>
              </w:rPr>
              <w:t>(Dollars in thousands)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Nonperforming loans:</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25,866</w:t>
            </w:r>
          </w:p>
        </w:tc>
        <w:tc>
          <w:tcPr>
            <w:tcW w:w="22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18,794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21,908</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10,661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15,440</w:t>
            </w: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Construction</w:t>
            </w:r>
          </w:p>
        </w:tc>
        <w:tc>
          <w:tcPr>
            <w:tcW w:w="160" w:type="dxa"/>
            <w:vAlign w:val="bottom"/>
            <w:shd w:val="clear" w:color="auto" w:fill="CFF0FC"/>
          </w:tcPr>
          <w:p>
            <w:pPr>
              <w:spacing w:after="0"/>
              <w:rPr>
                <w:sz w:val="13"/>
                <w:szCs w:val="13"/>
                <w:color w:val="auto"/>
              </w:rPr>
            </w:pPr>
          </w:p>
        </w:tc>
        <w:tc>
          <w:tcPr>
            <w:tcW w:w="13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SBA</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2,712</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2,727</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4,509</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SFR mortgage</w:t>
            </w:r>
          </w:p>
        </w:tc>
        <w:tc>
          <w:tcPr>
            <w:tcW w:w="160" w:type="dxa"/>
            <w:vAlign w:val="bottom"/>
            <w:shd w:val="clear" w:color="auto" w:fill="CFF0FC"/>
          </w:tcPr>
          <w:p>
            <w:pPr>
              <w:spacing w:after="0"/>
              <w:rPr>
                <w:sz w:val="13"/>
                <w:szCs w:val="13"/>
                <w:color w:val="auto"/>
              </w:rPr>
            </w:pPr>
          </w:p>
        </w:tc>
        <w:tc>
          <w:tcPr>
            <w:tcW w:w="13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60" w:type="dxa"/>
            <w:vAlign w:val="bottom"/>
          </w:tcPr>
          <w:p>
            <w:pPr>
              <w:spacing w:after="0"/>
              <w:rPr>
                <w:sz w:val="13"/>
                <w:szCs w:val="13"/>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27,795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21,913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24,957</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13,810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21,302</w:t>
            </w:r>
          </w:p>
        </w:tc>
        <w:tc>
          <w:tcPr>
            <w:tcW w:w="0" w:type="dxa"/>
            <w:vAlign w:val="bottom"/>
          </w:tcPr>
          <w:p>
            <w:pPr>
              <w:spacing w:after="0"/>
              <w:rPr>
                <w:sz w:val="1"/>
                <w:szCs w:val="1"/>
                <w:color w:val="auto"/>
              </w:rPr>
            </w:pPr>
          </w:p>
        </w:tc>
      </w:tr>
      <w:tr>
        <w:trPr>
          <w:trHeight w:val="174"/>
        </w:trPr>
        <w:tc>
          <w:tcPr>
            <w:tcW w:w="34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 of Total loans</w:t>
            </w:r>
          </w:p>
        </w:tc>
        <w:tc>
          <w:tcPr>
            <w:tcW w:w="160" w:type="dxa"/>
            <w:vAlign w:val="bottom"/>
          </w:tcPr>
          <w:p>
            <w:pPr>
              <w:spacing w:after="0"/>
              <w:rPr>
                <w:sz w:val="15"/>
                <w:szCs w:val="15"/>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0.33%</w:t>
            </w:r>
          </w:p>
        </w:tc>
        <w:tc>
          <w:tcPr>
            <w:tcW w:w="16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0.26%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0.29%</w:t>
            </w:r>
          </w:p>
        </w:tc>
        <w:tc>
          <w:tcPr>
            <w:tcW w:w="1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0.16%</w:t>
            </w:r>
          </w:p>
        </w:tc>
        <w:tc>
          <w:tcPr>
            <w:tcW w:w="1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0.24%</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Past due 30-89 days (accruing):</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30,701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6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19,781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Construction</w:t>
            </w:r>
          </w:p>
        </w:tc>
        <w:tc>
          <w:tcPr>
            <w:tcW w:w="160" w:type="dxa"/>
            <w:vAlign w:val="bottom"/>
            <w:shd w:val="clear" w:color="auto" w:fill="CFF0FC"/>
          </w:tcPr>
          <w:p>
            <w:pPr>
              <w:spacing w:after="0"/>
              <w:rPr>
                <w:sz w:val="13"/>
                <w:szCs w:val="13"/>
                <w:color w:val="auto"/>
              </w:rPr>
            </w:pPr>
          </w:p>
        </w:tc>
        <w:tc>
          <w:tcPr>
            <w:tcW w:w="13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SBA</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60" w:type="dxa"/>
            <w:vAlign w:val="bottom"/>
          </w:tcPr>
          <w:p>
            <w:pPr>
              <w:spacing w:after="0"/>
              <w:rPr>
                <w:sz w:val="13"/>
                <w:szCs w:val="13"/>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SFR mortgage</w:t>
            </w:r>
          </w:p>
        </w:tc>
        <w:tc>
          <w:tcPr>
            <w:tcW w:w="160" w:type="dxa"/>
            <w:vAlign w:val="bottom"/>
            <w:shd w:val="clear" w:color="auto" w:fill="CFF0FC"/>
          </w:tcPr>
          <w:p>
            <w:pPr>
              <w:spacing w:after="0"/>
              <w:rPr>
                <w:sz w:val="13"/>
                <w:szCs w:val="13"/>
                <w:color w:val="auto"/>
              </w:rPr>
            </w:pPr>
          </w:p>
        </w:tc>
        <w:tc>
          <w:tcPr>
            <w:tcW w:w="13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60" w:type="dxa"/>
            <w:vAlign w:val="bottom"/>
          </w:tcPr>
          <w:p>
            <w:pPr>
              <w:spacing w:after="0"/>
              <w:rPr>
                <w:sz w:val="13"/>
                <w:szCs w:val="13"/>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487</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30,765</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146</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20,195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639</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 of Total loans</w:t>
            </w:r>
          </w:p>
        </w:tc>
        <w:tc>
          <w:tcPr>
            <w:tcW w:w="160" w:type="dxa"/>
            <w:vAlign w:val="bottom"/>
          </w:tcPr>
          <w:p>
            <w:pPr>
              <w:spacing w:after="0"/>
              <w:rPr>
                <w:sz w:val="15"/>
                <w:szCs w:val="15"/>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0.01%</w:t>
            </w:r>
          </w:p>
        </w:tc>
        <w:tc>
          <w:tcPr>
            <w:tcW w:w="16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0.36%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0.00%</w:t>
            </w:r>
          </w:p>
        </w:tc>
        <w:tc>
          <w:tcPr>
            <w:tcW w:w="1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0.23%</w:t>
            </w:r>
          </w:p>
        </w:tc>
        <w:tc>
          <w:tcPr>
            <w:tcW w:w="1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OREO:</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18,656</w:t>
            </w:r>
          </w:p>
        </w:tc>
        <w:tc>
          <w:tcPr>
            <w:tcW w:w="22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SBA</w:t>
            </w:r>
          </w:p>
        </w:tc>
        <w:tc>
          <w:tcPr>
            <w:tcW w:w="160" w:type="dxa"/>
            <w:vAlign w:val="bottom"/>
            <w:shd w:val="clear" w:color="auto" w:fill="CFF0FC"/>
          </w:tcPr>
          <w:p>
            <w:pPr>
              <w:spacing w:after="0"/>
              <w:rPr>
                <w:sz w:val="13"/>
                <w:szCs w:val="13"/>
                <w:color w:val="auto"/>
              </w:rPr>
            </w:pPr>
          </w:p>
        </w:tc>
        <w:tc>
          <w:tcPr>
            <w:tcW w:w="13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SFR mortgage</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19,303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647</w:t>
            </w:r>
          </w:p>
        </w:tc>
        <w:tc>
          <w:tcPr>
            <w:tcW w:w="16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647</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647</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2"/>
        </w:trPr>
        <w:tc>
          <w:tcPr>
            <w:tcW w:w="3420" w:type="dxa"/>
            <w:vAlign w:val="bottom"/>
          </w:tcPr>
          <w:p>
            <w:pPr>
              <w:ind w:left="500"/>
              <w:spacing w:after="0" w:line="143" w:lineRule="exact"/>
              <w:rPr>
                <w:sz w:val="20"/>
                <w:szCs w:val="20"/>
                <w:color w:val="auto"/>
              </w:rPr>
            </w:pPr>
            <w:r>
              <w:rPr>
                <w:rFonts w:ascii="Times New Roman" w:cs="Times New Roman" w:eastAsia="Times New Roman" w:hAnsi="Times New Roman"/>
                <w:sz w:val="13"/>
                <w:szCs w:val="13"/>
                <w:b w:val="1"/>
                <w:bCs w:val="1"/>
                <w:color w:val="auto"/>
              </w:rPr>
              <w:t>Total nonperforming, past due, and</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2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OREO</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47,585</w:t>
            </w:r>
          </w:p>
        </w:tc>
        <w:tc>
          <w:tcPr>
            <w:tcW w:w="220" w:type="dxa"/>
            <w:vAlign w:val="bottom"/>
          </w:tcPr>
          <w:p>
            <w:pPr>
              <w:spacing w:after="0"/>
              <w:rPr>
                <w:sz w:val="15"/>
                <w:szCs w:val="15"/>
                <w:color w:val="auto"/>
              </w:rPr>
            </w:pP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53,325</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25,750</w:t>
            </w:r>
          </w:p>
        </w:tc>
        <w:tc>
          <w:tcPr>
            <w:tcW w:w="18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34,652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21,941</w:t>
            </w:r>
          </w:p>
        </w:tc>
        <w:tc>
          <w:tcPr>
            <w:tcW w:w="0" w:type="dxa"/>
            <w:vAlign w:val="bottom"/>
          </w:tcPr>
          <w:p>
            <w:pPr>
              <w:spacing w:after="0"/>
              <w:rPr>
                <w:sz w:val="1"/>
                <w:szCs w:val="1"/>
                <w:color w:val="auto"/>
              </w:rPr>
            </w:pPr>
          </w:p>
        </w:tc>
      </w:tr>
      <w:tr>
        <w:trPr>
          <w:trHeight w:val="44"/>
        </w:trPr>
        <w:tc>
          <w:tcPr>
            <w:tcW w:w="34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420" w:type="dxa"/>
            <w:vAlign w:val="bottom"/>
            <w:shd w:val="clear" w:color="auto" w:fill="CFF0FC"/>
          </w:tcPr>
          <w:p>
            <w:pPr>
              <w:ind w:left="500"/>
              <w:spacing w:after="0" w:line="133" w:lineRule="exact"/>
              <w:rPr>
                <w:sz w:val="20"/>
                <w:szCs w:val="20"/>
                <w:color w:val="auto"/>
              </w:rPr>
            </w:pPr>
            <w:r>
              <w:rPr>
                <w:rFonts w:ascii="Times New Roman" w:cs="Times New Roman" w:eastAsia="Times New Roman" w:hAnsi="Times New Roman"/>
                <w:sz w:val="13"/>
                <w:szCs w:val="13"/>
                <w:b w:val="1"/>
                <w:bCs w:val="1"/>
                <w:color w:val="auto"/>
              </w:rPr>
              <w:t>% of Total loans</w:t>
            </w:r>
          </w:p>
        </w:tc>
        <w:tc>
          <w:tcPr>
            <w:tcW w:w="16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3"/>
                <w:szCs w:val="13"/>
                <w:b w:val="1"/>
                <w:bCs w:val="1"/>
                <w:color w:val="auto"/>
              </w:rPr>
              <w:t>0.25%</w:t>
            </w:r>
          </w:p>
        </w:tc>
        <w:tc>
          <w:tcPr>
            <w:tcW w:w="16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0.62%</w:t>
            </w: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3"/>
                <w:szCs w:val="13"/>
                <w:b w:val="1"/>
                <w:bCs w:val="1"/>
                <w:color w:val="auto"/>
              </w:rPr>
              <w:t>0.30%</w:t>
            </w:r>
          </w:p>
        </w:tc>
        <w:tc>
          <w:tcPr>
            <w:tcW w:w="1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3"/>
                <w:szCs w:val="13"/>
                <w:b w:val="1"/>
                <w:bCs w:val="1"/>
                <w:color w:val="auto"/>
              </w:rPr>
              <w:t>0.40%</w:t>
            </w:r>
          </w:p>
        </w:tc>
        <w:tc>
          <w:tcPr>
            <w:tcW w:w="1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0.25%</w:t>
            </w:r>
          </w:p>
        </w:tc>
        <w:tc>
          <w:tcPr>
            <w:tcW w:w="0" w:type="dxa"/>
            <w:vAlign w:val="bottom"/>
          </w:tcPr>
          <w:p>
            <w:pPr>
              <w:spacing w:after="0"/>
              <w:rPr>
                <w:sz w:val="1"/>
                <w:szCs w:val="1"/>
                <w:color w:val="auto"/>
              </w:rPr>
            </w:pPr>
          </w:p>
        </w:tc>
      </w:tr>
      <w:tr>
        <w:trPr>
          <w:trHeight w:val="372"/>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Classified Loans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89,549</w:t>
            </w:r>
          </w:p>
        </w:tc>
        <w:tc>
          <w:tcPr>
            <w:tcW w:w="220" w:type="dxa"/>
            <w:vAlign w:val="bottom"/>
          </w:tcPr>
          <w:p>
            <w:pPr>
              <w:spacing w:after="0"/>
              <w:rPr>
                <w:sz w:val="24"/>
                <w:szCs w:val="2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124,606</w:t>
            </w:r>
          </w:p>
        </w:tc>
        <w:tc>
          <w:tcPr>
            <w:tcW w:w="16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124,728</w:t>
            </w:r>
          </w:p>
        </w:tc>
        <w:tc>
          <w:tcPr>
            <w:tcW w:w="260" w:type="dxa"/>
            <w:vAlign w:val="bottom"/>
          </w:tcPr>
          <w:p>
            <w:pPr>
              <w:spacing w:after="0"/>
              <w:rPr>
                <w:sz w:val="24"/>
                <w:szCs w:val="2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103,080</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102,197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firstLine="600"/>
        <w:spacing w:after="0" w:line="239" w:lineRule="auto"/>
        <w:rPr>
          <w:sz w:val="20"/>
          <w:szCs w:val="20"/>
          <w:color w:val="auto"/>
        </w:rPr>
      </w:pPr>
      <w:r>
        <w:rPr>
          <w:rFonts w:ascii="Times New Roman" w:cs="Times New Roman" w:eastAsia="Times New Roman" w:hAnsi="Times New Roman"/>
          <w:sz w:val="16"/>
          <w:szCs w:val="16"/>
          <w:color w:val="auto"/>
        </w:rPr>
        <w:t>Nonperforming loans, defined as nonaccrual loans, including modified loans on nonaccrual, and loans past due 90 days or more and still accruing interest, were $27.8 million at December 31, 2024, or 0.33% of total loans. This compares to nonperforming loans of $21.3 million, or 0.24% of total loans, at December 31, 2023. The $6.5 million increase in nonperforming loans was primarily due a $ 10.4 million increase in nonperforming commercial real estate loans, which was due to the addition of two new nonperforming loans, which was partially offset by a decrease of $4.2 million in nonperforming commercial and industrial loans. Classified loans are loans that are graded “substandard” or worse. Classified loans of $89.5 million decreased $35.1 million quarter -over-quarter, primarily due to a $24.6 million decrease in classified commercial real estate loans and a $10.8 million decrease in classified dairy &amp; livestock and agribusiness loans. Classified loans as a percentage of total loans was 1.05% at December 31, 2024, compared to 1.45% at September 30, 2024 and 1.15% at December 31, 2023.</w:t>
      </w:r>
    </w:p>
    <w:p>
      <w:pPr>
        <w:spacing w:after="0" w:line="134" w:lineRule="exact"/>
        <w:rPr>
          <w:sz w:val="20"/>
          <w:szCs w:val="20"/>
          <w:color w:val="auto"/>
        </w:rPr>
      </w:pPr>
    </w:p>
    <w:p>
      <w:pPr>
        <w:ind w:right="640" w:firstLine="600"/>
        <w:spacing w:after="0" w:line="259" w:lineRule="auto"/>
        <w:rPr>
          <w:sz w:val="20"/>
          <w:szCs w:val="20"/>
          <w:color w:val="auto"/>
        </w:rPr>
      </w:pPr>
      <w:r>
        <w:rPr>
          <w:rFonts w:ascii="Times New Roman" w:cs="Times New Roman" w:eastAsia="Times New Roman" w:hAnsi="Times New Roman"/>
          <w:sz w:val="16"/>
          <w:szCs w:val="16"/>
          <w:color w:val="auto"/>
        </w:rPr>
        <w:t>At December 31, 2024 we had four OREO properties totaling $19.3 million which were all additions to OREO in the year ended December 31, 2024, consisting of three commercial real estate properties and one single-family residential property. At December 31, 2023, we had no OREO properties.</w:t>
      </w:r>
    </w:p>
    <w:p>
      <w:pPr>
        <w:spacing w:after="0" w:line="119" w:lineRule="exact"/>
        <w:rPr>
          <w:sz w:val="20"/>
          <w:szCs w:val="20"/>
          <w:color w:val="auto"/>
        </w:rPr>
      </w:pPr>
    </w:p>
    <w:p>
      <w:pPr>
        <w:ind w:right="280" w:firstLine="600"/>
        <w:spacing w:after="0" w:line="247" w:lineRule="auto"/>
        <w:rPr>
          <w:sz w:val="20"/>
          <w:szCs w:val="20"/>
          <w:color w:val="auto"/>
        </w:rPr>
      </w:pPr>
      <w:r>
        <w:rPr>
          <w:rFonts w:ascii="Times New Roman" w:cs="Times New Roman" w:eastAsia="Times New Roman" w:hAnsi="Times New Roman"/>
          <w:sz w:val="16"/>
          <w:szCs w:val="16"/>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1" w:right="660" w:bottom="1440" w:gutter="0" w:footer="0" w:header="0"/>
        </w:sectPr>
      </w:pPr>
    </w:p>
    <w:bookmarkStart w:id="62" w:name="page63"/>
    <w:bookmarkEnd w:id="62"/>
    <w:p>
      <w:pPr>
        <w:spacing w:after="0" w:line="13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color w:val="auto"/>
        </w:rPr>
        <w:t>in the financial conditions or business of a borrower may adversely affect a specific borrower’s ability to pay or the value of our collateral. See “</w:t>
      </w:r>
      <w:r>
        <w:rPr>
          <w:rFonts w:ascii="Times New Roman" w:cs="Times New Roman" w:eastAsia="Times New Roman" w:hAnsi="Times New Roman"/>
          <w:sz w:val="16"/>
          <w:szCs w:val="16"/>
          <w:i w:val="1"/>
          <w:iCs w:val="1"/>
          <w:color w:val="auto"/>
        </w:rPr>
        <w:t>Risk Management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Risk Management</w:t>
      </w:r>
      <w:r>
        <w:rPr>
          <w:rFonts w:ascii="Times New Roman" w:cs="Times New Roman" w:eastAsia="Times New Roman" w:hAnsi="Times New Roman"/>
          <w:sz w:val="16"/>
          <w:szCs w:val="16"/>
          <w:color w:val="auto"/>
        </w:rPr>
        <w:t>” included 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w:t>
      </w:r>
    </w:p>
    <w:p>
      <w:pPr>
        <w:spacing w:after="0" w:line="156" w:lineRule="exact"/>
        <w:rPr>
          <w:sz w:val="20"/>
          <w:szCs w:val="20"/>
          <w:color w:val="auto"/>
        </w:rPr>
      </w:pPr>
    </w:p>
    <w:p>
      <w:pPr>
        <w:jc w:val="both"/>
        <w:ind w:right="80" w:firstLine="588"/>
        <w:spacing w:after="0" w:line="241" w:lineRule="auto"/>
        <w:rPr>
          <w:sz w:val="20"/>
          <w:szCs w:val="20"/>
          <w:color w:val="auto"/>
        </w:rPr>
      </w:pPr>
      <w:r>
        <w:rPr>
          <w:rFonts w:ascii="Times New Roman" w:cs="Times New Roman" w:eastAsia="Times New Roman" w:hAnsi="Times New Roman"/>
          <w:sz w:val="16"/>
          <w:szCs w:val="16"/>
          <w:color w:val="auto"/>
        </w:rPr>
        <w:t>The allowance for credit losses totaled $80.1 million as of December 31, 2024, compared to $86.8 million as of December 31, 2023. Our allowance for credit losses at December 31, 2024 was 0.94% of total loans, compared to 0.98% at December 31, 2023. The ACL decreased by $6.7 million for 2024, including $3.0 million recapture of provision for credit losses. The ACL increased by $1.7 million for 2023, including $2.0 million in provision for credit losses. The ACL increased by $20.1 million for 2022 compared to December 31, 2021, including $8.6 million for the acquired Suncrest PCD loans and $10.6 million in provision for credit losses for 2022. Net charge-offs were $3.7 million for 2024, which compares with net charge-offs of $275,000 for 2023.</w:t>
      </w:r>
    </w:p>
    <w:p>
      <w:pPr>
        <w:spacing w:after="0" w:line="133"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color w:val="auto"/>
        </w:rPr>
        <w:t>The allowance for credit losses as of December 31, 2024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Small Business Administration (“SBA”) loans. The Commercial and Industrial methodology is applied over a substantial portion of the Company’s commercial and industrial loans, all dairy &amp; livestock and agribusiness loans, municipal lease receivables, as well as the remaining portion of SBA loans (excluding PPP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33" w:lineRule="exact"/>
        <w:rPr>
          <w:sz w:val="20"/>
          <w:szCs w:val="20"/>
          <w:color w:val="auto"/>
        </w:rPr>
      </w:pPr>
    </w:p>
    <w:p>
      <w:pPr>
        <w:ind w:firstLine="588"/>
        <w:spacing w:after="0" w:line="243" w:lineRule="auto"/>
        <w:rPr>
          <w:sz w:val="20"/>
          <w:szCs w:val="20"/>
          <w:color w:val="auto"/>
        </w:rPr>
      </w:pPr>
      <w:r>
        <w:rPr>
          <w:rFonts w:ascii="Times New Roman" w:cs="Times New Roman" w:eastAsia="Times New Roman" w:hAnsi="Times New Roman"/>
          <w:sz w:val="16"/>
          <w:szCs w:val="16"/>
          <w:color w:val="auto"/>
        </w:rPr>
        <w:t>Our economic forecast continues to be a blend of multiple forecasts produced by Moody’s. The baseline forecast continues to represent the largest weighting in our multi-weighted forecast scenario, with both upside and downside risks weighted among multiple forecasts. The resulting economic forecast reflects GDP growing at slower rate than 2024, with GDP growth forecasted below 2% for 2025 through 2027. Commercial Real Estate values are forecasted to continue their decline in 2025, with appreciation starting in 2027. Unemployment is forecasted to rise above 5% in 2025 and remains over 5% until 2028.</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3" w:name="page64"/>
    <w:bookmarkEnd w:id="63"/>
    <w:p>
      <w:pPr>
        <w:spacing w:after="0" w:line="137" w:lineRule="exact"/>
        <w:rPr>
          <w:sz w:val="20"/>
          <w:szCs w:val="20"/>
          <w:color w:val="auto"/>
        </w:rPr>
      </w:pPr>
    </w:p>
    <w:p>
      <w:pPr>
        <w:ind w:firstLine="600"/>
        <w:spacing w:after="0" w:line="259" w:lineRule="auto"/>
        <w:rPr>
          <w:sz w:val="20"/>
          <w:szCs w:val="20"/>
          <w:color w:val="auto"/>
        </w:rPr>
      </w:pPr>
      <w:r>
        <w:rPr>
          <w:rFonts w:ascii="Times New Roman" w:cs="Times New Roman" w:eastAsia="Times New Roman" w:hAnsi="Times New Roman"/>
          <w:sz w:val="16"/>
          <w:szCs w:val="16"/>
          <w:color w:val="auto"/>
        </w:rPr>
        <w:t>The table below presents a summary of charge-offs and recoveries by type, the provision for credit losses on loans, and the resulting allowance for credit losses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4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3"/>
                <w:szCs w:val="13"/>
                <w:color w:val="auto"/>
              </w:rPr>
            </w:pPr>
          </w:p>
        </w:tc>
      </w:tr>
      <w:tr>
        <w:trPr>
          <w:trHeight w:val="170"/>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Allowance for credit losses at beginning of period</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86,842</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85,117</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65,019</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93,692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68,660</w:t>
            </w: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Impact of adopting ASU 2016-13</w:t>
            </w:r>
          </w:p>
        </w:tc>
        <w:tc>
          <w:tcPr>
            <w:tcW w:w="26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180" w:type="dxa"/>
            <w:vAlign w:val="bottom"/>
          </w:tcPr>
          <w:p>
            <w:pPr>
              <w:spacing w:after="0"/>
              <w:rPr>
                <w:sz w:val="13"/>
                <w:szCs w:val="13"/>
                <w:color w:val="auto"/>
              </w:rPr>
            </w:pP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Charge-offs:</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r>
      <w:tr>
        <w:trPr>
          <w:trHeight w:val="156"/>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2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(2,258)</w:t>
            </w:r>
          </w:p>
        </w:tc>
        <w:tc>
          <w:tcPr>
            <w:tcW w:w="24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Construction</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SBA</w:t>
            </w:r>
          </w:p>
        </w:tc>
        <w:tc>
          <w:tcPr>
            <w:tcW w:w="2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(165)</w:t>
            </w:r>
          </w:p>
        </w:tc>
        <w:tc>
          <w:tcPr>
            <w:tcW w:w="24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(288)</w:t>
            </w:r>
          </w:p>
        </w:tc>
        <w:tc>
          <w:tcPr>
            <w:tcW w:w="22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(127)</w:t>
            </w:r>
          </w:p>
        </w:tc>
        <w:tc>
          <w:tcPr>
            <w:tcW w:w="22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(223)</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(362)</w:t>
            </w:r>
          </w:p>
        </w:tc>
      </w:tr>
      <w:tr>
        <w:trPr>
          <w:trHeight w:val="156"/>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(1,981)</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(109)</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(66)</w:t>
            </w: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(3,019)</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(195)</w:t>
            </w:r>
          </w:p>
        </w:tc>
      </w:tr>
      <w:tr>
        <w:trPr>
          <w:trHeight w:val="156"/>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26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(118)</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SFR mortgage</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Consumer and other loans</w:t>
            </w:r>
          </w:p>
        </w:tc>
        <w:tc>
          <w:tcPr>
            <w:tcW w:w="2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(109)</w:t>
            </w:r>
          </w:p>
        </w:tc>
      </w:tr>
      <w:tr>
        <w:trPr>
          <w:trHeight w:val="156"/>
        </w:trPr>
        <w:tc>
          <w:tcPr>
            <w:tcW w:w="4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charge-offs</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(4,408)</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(405)</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(197)</w:t>
            </w: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(3,371)</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(666)</w:t>
            </w: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Recoveries: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Construction</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tcPr>
          <w:p>
            <w:pPr>
              <w:spacing w:after="0"/>
              <w:rPr>
                <w:sz w:val="13"/>
                <w:szCs w:val="13"/>
                <w:color w:val="auto"/>
              </w:rPr>
            </w:pPr>
          </w:p>
        </w:tc>
      </w:tr>
      <w:tr>
        <w:trPr>
          <w:trHeight w:val="208"/>
        </w:trPr>
        <w:tc>
          <w:tcPr>
            <w:tcW w:w="43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SBA</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156"/>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3"/>
                <w:szCs w:val="13"/>
                <w:color w:val="auto"/>
              </w:rPr>
            </w:pPr>
          </w:p>
        </w:tc>
      </w:tr>
      <w:tr>
        <w:trPr>
          <w:trHeight w:val="156"/>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SFR mortgage</w:t>
            </w:r>
          </w:p>
        </w:tc>
        <w:tc>
          <w:tcPr>
            <w:tcW w:w="26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80" w:type="dxa"/>
            <w:vAlign w:val="bottom"/>
          </w:tcPr>
          <w:p>
            <w:pPr>
              <w:spacing w:after="0"/>
              <w:rPr>
                <w:sz w:val="13"/>
                <w:szCs w:val="13"/>
                <w:color w:val="auto"/>
              </w:rPr>
            </w:pPr>
          </w:p>
        </w:tc>
      </w:tr>
      <w:tr>
        <w:trPr>
          <w:trHeight w:val="156"/>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Consumer and other loans</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80" w:type="dxa"/>
            <w:vAlign w:val="bottom"/>
            <w:shd w:val="clear" w:color="auto" w:fill="CFF0FC"/>
          </w:tcPr>
          <w:p>
            <w:pPr>
              <w:spacing w:after="0"/>
              <w:rPr>
                <w:sz w:val="13"/>
                <w:szCs w:val="13"/>
                <w:color w:val="auto"/>
              </w:rPr>
            </w:pPr>
          </w:p>
        </w:tc>
      </w:tr>
      <w:tr>
        <w:trPr>
          <w:trHeight w:val="156"/>
        </w:trPr>
        <w:tc>
          <w:tcPr>
            <w:tcW w:w="4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recoveries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80" w:type="dxa"/>
            <w:vAlign w:val="bottom"/>
          </w:tcPr>
          <w:p>
            <w:pPr>
              <w:spacing w:after="0"/>
              <w:rPr>
                <w:sz w:val="13"/>
                <w:szCs w:val="13"/>
                <w:color w:val="auto"/>
              </w:rPr>
            </w:pP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(charged-offs) recoveries</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(3,720)</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(275)</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(3,173)</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(308)</w:t>
            </w: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Initial ACL for PCD loans at acquisition</w:t>
            </w:r>
          </w:p>
        </w:tc>
        <w:tc>
          <w:tcPr>
            <w:tcW w:w="26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Provision recorded at acquisition</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4,932</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(Recapture of) provision for credit losses</w:t>
            </w:r>
          </w:p>
        </w:tc>
        <w:tc>
          <w:tcPr>
            <w:tcW w:w="2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(3,000)</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(25,500)</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23,500</w:t>
            </w:r>
          </w:p>
        </w:tc>
      </w:tr>
      <w:tr>
        <w:trPr>
          <w:trHeight w:val="19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Allowance for credit losses at end of period</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80,122</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86,842</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85,117</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65,019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93,692</w:t>
            </w:r>
          </w:p>
        </w:tc>
      </w:tr>
      <w:tr>
        <w:trPr>
          <w:trHeight w:val="132"/>
        </w:trPr>
        <w:tc>
          <w:tcPr>
            <w:tcW w:w="4380" w:type="dxa"/>
            <w:vAlign w:val="bottom"/>
            <w:tcBorders>
              <w:top w:val="single" w:sz="8" w:color="CFF0FC"/>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Summary of reserve for unfunded loan commitments:</w:t>
            </w: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r>
      <w:tr>
        <w:trPr>
          <w:trHeight w:val="156"/>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Reserve for unfunded loan commitments at beginning of period</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8,959</w:t>
            </w:r>
          </w:p>
        </w:tc>
        <w:tc>
          <w:tcPr>
            <w:tcW w:w="180" w:type="dxa"/>
            <w:vAlign w:val="bottom"/>
            <w:shd w:val="clear" w:color="auto" w:fill="CFF0FC"/>
          </w:tcPr>
          <w:p>
            <w:pPr>
              <w:spacing w:after="0"/>
              <w:rPr>
                <w:sz w:val="13"/>
                <w:szCs w:val="13"/>
                <w:color w:val="auto"/>
              </w:rPr>
            </w:pPr>
          </w:p>
        </w:tc>
      </w:tr>
      <w:tr>
        <w:trPr>
          <w:trHeight w:val="168"/>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Impact of adopting ASU 2016-13</w:t>
            </w:r>
          </w:p>
        </w:tc>
        <w:tc>
          <w:tcPr>
            <w:tcW w:w="26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80" w:type="dxa"/>
            <w:vAlign w:val="bottom"/>
          </w:tcPr>
          <w:p>
            <w:pPr>
              <w:spacing w:after="0"/>
              <w:rPr>
                <w:sz w:val="14"/>
                <w:szCs w:val="14"/>
                <w:color w:val="auto"/>
              </w:rPr>
            </w:pPr>
          </w:p>
        </w:tc>
      </w:tr>
      <w:tr>
        <w:trPr>
          <w:trHeight w:val="156"/>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(Recapture of) provision for unfunded loan commitments</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(1,250)</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(500)</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Reserve for unfunded loan commitments at end of period</w:t>
            </w:r>
          </w:p>
        </w:tc>
        <w:tc>
          <w:tcPr>
            <w:tcW w:w="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6,250</w:t>
            </w:r>
          </w:p>
        </w:tc>
        <w:tc>
          <w:tcPr>
            <w:tcW w:w="260" w:type="dxa"/>
            <w:vAlign w:val="bottom"/>
          </w:tcPr>
          <w:p>
            <w:pPr>
              <w:spacing w:after="0"/>
              <w:rPr>
                <w:sz w:val="13"/>
                <w:szCs w:val="13"/>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80" w:type="dxa"/>
            <w:vAlign w:val="bottom"/>
          </w:tcPr>
          <w:p>
            <w:pPr>
              <w:spacing w:after="0"/>
              <w:rPr>
                <w:sz w:val="13"/>
                <w:szCs w:val="13"/>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40" w:type="dxa"/>
            <w:vAlign w:val="bottom"/>
          </w:tcPr>
          <w:p>
            <w:pPr>
              <w:spacing w:after="0"/>
              <w:rPr>
                <w:sz w:val="13"/>
                <w:szCs w:val="13"/>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6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180" w:type="dxa"/>
            <w:vAlign w:val="bottom"/>
          </w:tcPr>
          <w:p>
            <w:pPr>
              <w:spacing w:after="0"/>
              <w:rPr>
                <w:sz w:val="13"/>
                <w:szCs w:val="13"/>
                <w:color w:val="auto"/>
              </w:rPr>
            </w:pPr>
          </w:p>
        </w:tc>
      </w:tr>
      <w:tr>
        <w:trPr>
          <w:trHeight w:val="20"/>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32"/>
        </w:trPr>
        <w:tc>
          <w:tcPr>
            <w:tcW w:w="43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Reserve for unfunded loan commitments to total unfunded loan commitments</w:t>
            </w:r>
          </w:p>
        </w:tc>
        <w:tc>
          <w:tcPr>
            <w:tcW w:w="26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0.35%</w:t>
            </w:r>
          </w:p>
        </w:tc>
        <w:tc>
          <w:tcPr>
            <w:tcW w:w="2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0.43%</w:t>
            </w:r>
          </w:p>
        </w:tc>
        <w:tc>
          <w:tcPr>
            <w:tcW w:w="2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0.46%</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0.49%</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0.54%</w:t>
            </w: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 of total loans at end of period (1)</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8,536,432</w:t>
            </w:r>
          </w:p>
        </w:tc>
        <w:tc>
          <w:tcPr>
            <w:tcW w:w="26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8,904,910</w:t>
            </w:r>
          </w:p>
        </w:tc>
        <w:tc>
          <w:tcPr>
            <w:tcW w:w="28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9,079,392</w:t>
            </w:r>
          </w:p>
        </w:tc>
        <w:tc>
          <w:tcPr>
            <w:tcW w:w="24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7,887,713</w:t>
            </w:r>
          </w:p>
        </w:tc>
        <w:tc>
          <w:tcPr>
            <w:tcW w:w="2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8,348,808</w:t>
            </w:r>
          </w:p>
        </w:tc>
        <w:tc>
          <w:tcPr>
            <w:tcW w:w="180" w:type="dxa"/>
            <w:vAlign w:val="bottom"/>
          </w:tcPr>
          <w:p>
            <w:pPr>
              <w:spacing w:after="0"/>
              <w:rPr>
                <w:sz w:val="13"/>
                <w:szCs w:val="13"/>
                <w:color w:val="auto"/>
              </w:rPr>
            </w:pP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Average total loans outstanding (1)</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8,670,420</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8,893,335</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8,676,820</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8,065,877</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8,066,483</w:t>
            </w:r>
          </w:p>
        </w:tc>
        <w:tc>
          <w:tcPr>
            <w:tcW w:w="180" w:type="dxa"/>
            <w:vAlign w:val="bottom"/>
            <w:shd w:val="clear" w:color="auto" w:fill="CFF0FC"/>
          </w:tcPr>
          <w:p>
            <w:pPr>
              <w:spacing w:after="0"/>
              <w:rPr>
                <w:sz w:val="13"/>
                <w:szCs w:val="13"/>
                <w:color w:val="auto"/>
              </w:rPr>
            </w:pP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(charge-offs) recoveries to average total loans</w:t>
            </w:r>
          </w:p>
        </w:tc>
        <w:tc>
          <w:tcPr>
            <w:tcW w:w="2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(0.04)%</w:t>
            </w:r>
          </w:p>
        </w:tc>
        <w:tc>
          <w:tcPr>
            <w:tcW w:w="24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(0.00)%</w:t>
            </w: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0.01%</w:t>
            </w:r>
          </w:p>
        </w:tc>
        <w:tc>
          <w:tcPr>
            <w:tcW w:w="2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(0.04)%</w:t>
            </w:r>
          </w:p>
        </w:tc>
        <w:tc>
          <w:tcPr>
            <w:tcW w:w="14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(0.00)%</w:t>
            </w: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(charge-offs) recoveries to total loans at end of period</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(0.04)%</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(0.00)%</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0.01%</w:t>
            </w: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(0.04)%</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(0.00)%</w:t>
            </w: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credit losses to average total loans</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0.92%</w:t>
            </w:r>
          </w:p>
        </w:tc>
        <w:tc>
          <w:tcPr>
            <w:tcW w:w="24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0.98%</w:t>
            </w: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0.98%</w:t>
            </w:r>
          </w:p>
        </w:tc>
        <w:tc>
          <w:tcPr>
            <w:tcW w:w="2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0.81%</w:t>
            </w:r>
          </w:p>
        </w:tc>
        <w:tc>
          <w:tcPr>
            <w:tcW w:w="14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1.16%</w:t>
            </w:r>
          </w:p>
        </w:tc>
      </w:tr>
      <w:tr>
        <w:trPr>
          <w:trHeight w:val="264"/>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Allowance for credit losses to total loans at end of period</w:t>
            </w:r>
          </w:p>
        </w:tc>
        <w:tc>
          <w:tcPr>
            <w:tcW w:w="2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line="263" w:lineRule="exact"/>
              <w:rPr>
                <w:sz w:val="20"/>
                <w:szCs w:val="20"/>
                <w:color w:val="auto"/>
              </w:rPr>
            </w:pPr>
            <w:r>
              <w:rPr>
                <w:rFonts w:ascii="Times New Roman" w:cs="Times New Roman" w:eastAsia="Times New Roman" w:hAnsi="Times New Roman"/>
                <w:sz w:val="13"/>
                <w:szCs w:val="13"/>
                <w:color w:val="auto"/>
              </w:rPr>
              <w:t>0.94</w:t>
            </w:r>
            <w:r>
              <w:rPr>
                <w:rFonts w:ascii="Times New Roman" w:cs="Times New Roman" w:eastAsia="Times New Roman" w:hAnsi="Times New Roman"/>
                <w:sz w:val="26"/>
                <w:szCs w:val="26"/>
                <w:color w:val="auto"/>
                <w:vertAlign w:val="superscript"/>
              </w:rPr>
              <w:t>%</w:t>
            </w:r>
          </w:p>
        </w:tc>
        <w:tc>
          <w:tcPr>
            <w:tcW w:w="2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60"/>
              <w:spacing w:after="0" w:line="263" w:lineRule="exact"/>
              <w:rPr>
                <w:sz w:val="20"/>
                <w:szCs w:val="20"/>
                <w:color w:val="auto"/>
              </w:rPr>
            </w:pPr>
            <w:r>
              <w:rPr>
                <w:rFonts w:ascii="Times New Roman" w:cs="Times New Roman" w:eastAsia="Times New Roman" w:hAnsi="Times New Roman"/>
                <w:sz w:val="13"/>
                <w:szCs w:val="13"/>
                <w:color w:val="auto"/>
              </w:rPr>
              <w:t>0.98</w:t>
            </w:r>
            <w:r>
              <w:rPr>
                <w:rFonts w:ascii="Times New Roman" w:cs="Times New Roman" w:eastAsia="Times New Roman" w:hAnsi="Times New Roman"/>
                <w:sz w:val="26"/>
                <w:szCs w:val="26"/>
                <w:color w:val="auto"/>
                <w:vertAlign w:val="superscript"/>
              </w:rPr>
              <w:t>%</w:t>
            </w:r>
          </w:p>
        </w:tc>
        <w:tc>
          <w:tcPr>
            <w:tcW w:w="22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20"/>
              <w:spacing w:after="0" w:line="263" w:lineRule="exact"/>
              <w:rPr>
                <w:sz w:val="20"/>
                <w:szCs w:val="20"/>
                <w:color w:val="auto"/>
              </w:rPr>
            </w:pPr>
            <w:r>
              <w:rPr>
                <w:rFonts w:ascii="Times New Roman" w:cs="Times New Roman" w:eastAsia="Times New Roman" w:hAnsi="Times New Roman"/>
                <w:sz w:val="13"/>
                <w:szCs w:val="13"/>
                <w:color w:val="auto"/>
              </w:rPr>
              <w:t>0.94</w:t>
            </w:r>
            <w:r>
              <w:rPr>
                <w:rFonts w:ascii="Times New Roman" w:cs="Times New Roman" w:eastAsia="Times New Roman" w:hAnsi="Times New Roman"/>
                <w:sz w:val="26"/>
                <w:szCs w:val="26"/>
                <w:color w:val="auto"/>
                <w:vertAlign w:val="superscript"/>
              </w:rPr>
              <w:t>%</w:t>
            </w:r>
          </w:p>
        </w:tc>
        <w:tc>
          <w:tcPr>
            <w:tcW w:w="2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40"/>
              <w:spacing w:after="0" w:line="263" w:lineRule="exact"/>
              <w:rPr>
                <w:sz w:val="20"/>
                <w:szCs w:val="20"/>
                <w:color w:val="auto"/>
              </w:rPr>
            </w:pPr>
            <w:r>
              <w:rPr>
                <w:rFonts w:ascii="Times New Roman" w:cs="Times New Roman" w:eastAsia="Times New Roman" w:hAnsi="Times New Roman"/>
                <w:sz w:val="13"/>
                <w:szCs w:val="13"/>
                <w:color w:val="auto"/>
              </w:rPr>
              <w:t>0.82</w:t>
            </w:r>
            <w:r>
              <w:rPr>
                <w:rFonts w:ascii="Times New Roman" w:cs="Times New Roman" w:eastAsia="Times New Roman" w:hAnsi="Times New Roman"/>
                <w:sz w:val="26"/>
                <w:szCs w:val="26"/>
                <w:color w:val="auto"/>
                <w:vertAlign w:val="superscript"/>
              </w:rPr>
              <w:t>%</w:t>
            </w:r>
          </w:p>
        </w:tc>
        <w:tc>
          <w:tcPr>
            <w:tcW w:w="14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60"/>
              <w:spacing w:after="0" w:line="263" w:lineRule="exact"/>
              <w:rPr>
                <w:sz w:val="20"/>
                <w:szCs w:val="20"/>
                <w:color w:val="auto"/>
              </w:rPr>
            </w:pPr>
            <w:r>
              <w:rPr>
                <w:rFonts w:ascii="Times New Roman" w:cs="Times New Roman" w:eastAsia="Times New Roman" w:hAnsi="Times New Roman"/>
                <w:sz w:val="13"/>
                <w:szCs w:val="13"/>
                <w:color w:val="auto"/>
              </w:rPr>
              <w:t>1.12</w:t>
            </w:r>
            <w:r>
              <w:rPr>
                <w:rFonts w:ascii="Times New Roman" w:cs="Times New Roman" w:eastAsia="Times New Roman" w:hAnsi="Times New Roman"/>
                <w:sz w:val="26"/>
                <w:szCs w:val="26"/>
                <w:color w:val="auto"/>
                <w:vertAlign w:val="superscript"/>
              </w:rPr>
              <w:t>%</w:t>
            </w: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(charge-offs) recoveries to allowance for credit losses</w:t>
            </w:r>
          </w:p>
        </w:tc>
        <w:tc>
          <w:tcPr>
            <w:tcW w:w="2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(4.64)%</w:t>
            </w:r>
          </w:p>
        </w:tc>
        <w:tc>
          <w:tcPr>
            <w:tcW w:w="24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(0.32)%</w:t>
            </w: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1.05%</w:t>
            </w:r>
          </w:p>
        </w:tc>
        <w:tc>
          <w:tcPr>
            <w:tcW w:w="2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(4.88)%</w:t>
            </w:r>
          </w:p>
        </w:tc>
        <w:tc>
          <w:tcPr>
            <w:tcW w:w="14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(0.33)%</w:t>
            </w: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(charge-offs) recoveries to (recapture of) provision for credit losses</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124.00%</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(13.75)%</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8.42%</w:t>
            </w: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12.44%</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(1.31)%</w:t>
            </w:r>
          </w:p>
        </w:tc>
      </w:tr>
    </w:tbl>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(1)Net of deferred loan origination fees, costs and discounts (amortized cost).</w:t>
      </w:r>
    </w:p>
    <w:p>
      <w:pPr>
        <w:spacing w:after="0" w:line="162" w:lineRule="exact"/>
        <w:rPr>
          <w:sz w:val="20"/>
          <w:szCs w:val="20"/>
          <w:color w:val="auto"/>
        </w:rPr>
      </w:pPr>
    </w:p>
    <w:p>
      <w:pPr>
        <w:jc w:val="both"/>
        <w:ind w:right="200" w:firstLine="600"/>
        <w:spacing w:after="0" w:line="259" w:lineRule="auto"/>
        <w:rPr>
          <w:sz w:val="20"/>
          <w:szCs w:val="20"/>
          <w:color w:val="auto"/>
        </w:rPr>
      </w:pPr>
      <w:r>
        <w:rPr>
          <w:rFonts w:ascii="Times New Roman" w:cs="Times New Roman" w:eastAsia="Times New Roman" w:hAnsi="Times New Roman"/>
          <w:sz w:val="16"/>
          <w:szCs w:val="16"/>
          <w:color w:val="auto"/>
        </w:rPr>
        <w:t>The Bank’s ACL methodology also produced an allowance of $6.3 million for our off-balance sheet credit exposures as of December 31, 2024, compared to $7.5 million as of December 31, 2023.</w:t>
      </w:r>
    </w:p>
    <w:p>
      <w:pPr>
        <w:spacing w:after="0" w:line="119" w:lineRule="exact"/>
        <w:rPr>
          <w:sz w:val="20"/>
          <w:szCs w:val="20"/>
          <w:color w:val="auto"/>
        </w:rPr>
      </w:pPr>
    </w:p>
    <w:p>
      <w:pPr>
        <w:jc w:val="both"/>
        <w:ind w:right="60" w:firstLine="600"/>
        <w:spacing w:after="0" w:line="299" w:lineRule="auto"/>
        <w:rPr>
          <w:sz w:val="20"/>
          <w:szCs w:val="20"/>
          <w:color w:val="auto"/>
        </w:rPr>
      </w:pPr>
      <w:r>
        <w:rPr>
          <w:rFonts w:ascii="Times New Roman" w:cs="Times New Roman" w:eastAsia="Times New Roman" w:hAnsi="Times New Roman"/>
          <w:sz w:val="14"/>
          <w:szCs w:val="14"/>
          <w:color w:val="auto"/>
        </w:rPr>
        <w:t>While we believe that the allowance at December 31, 2024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4" w:name="page65"/>
    <w:bookmarkEnd w:id="64"/>
    <w:p>
      <w:pPr>
        <w:spacing w:after="0" w:line="137" w:lineRule="exact"/>
        <w:rPr>
          <w:sz w:val="20"/>
          <w:szCs w:val="20"/>
          <w:color w:val="auto"/>
        </w:rPr>
      </w:pPr>
    </w:p>
    <w:p>
      <w:pPr>
        <w:ind w:firstLine="600"/>
        <w:spacing w:after="0" w:line="243" w:lineRule="auto"/>
        <w:rPr>
          <w:sz w:val="20"/>
          <w:szCs w:val="20"/>
          <w:color w:val="auto"/>
        </w:rPr>
      </w:pPr>
      <w:r>
        <w:rPr>
          <w:rFonts w:ascii="Times New Roman" w:cs="Times New Roman" w:eastAsia="Times New Roman" w:hAnsi="Times New Roman"/>
          <w:sz w:val="16"/>
          <w:szCs w:val="16"/>
          <w:color w:val="auto"/>
        </w:rPr>
        <w:t>Changes in economic and business conditions could have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6"/>
          <w:szCs w:val="16"/>
          <w:i w:val="1"/>
          <w:iCs w:val="1"/>
          <w:color w:val="auto"/>
        </w:rPr>
        <w:t>Risk Management – Credit Risk Management</w:t>
      </w:r>
      <w:r>
        <w:rPr>
          <w:rFonts w:ascii="Times New Roman" w:cs="Times New Roman" w:eastAsia="Times New Roman" w:hAnsi="Times New Roman"/>
          <w:sz w:val="16"/>
          <w:szCs w:val="16"/>
          <w:color w:val="auto"/>
        </w:rPr>
        <w:t>” contained herein.</w:t>
      </w:r>
    </w:p>
    <w:p>
      <w:pPr>
        <w:spacing w:after="0" w:line="131" w:lineRule="exact"/>
        <w:rPr>
          <w:sz w:val="20"/>
          <w:szCs w:val="20"/>
          <w:color w:val="auto"/>
        </w:rPr>
      </w:pPr>
    </w:p>
    <w:p>
      <w:pPr>
        <w:ind w:right="200" w:firstLine="600"/>
        <w:spacing w:after="0" w:line="259" w:lineRule="auto"/>
        <w:rPr>
          <w:sz w:val="20"/>
          <w:szCs w:val="20"/>
          <w:color w:val="auto"/>
        </w:rPr>
      </w:pPr>
      <w:r>
        <w:rPr>
          <w:rFonts w:ascii="Times New Roman" w:cs="Times New Roman" w:eastAsia="Times New Roman" w:hAnsi="Times New Roman"/>
          <w:sz w:val="16"/>
          <w:szCs w:val="16"/>
          <w:color w:val="auto"/>
        </w:rPr>
        <w:t>The following table provides a summary of the allocation of the allowance for credit losses by loan type at the dates indicated for total loans. The allocations presented should not be interpreted as an indication that loans charged to the allowance for credit losses will occur in these amounts or proportions.</w:t>
      </w: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Allowance for Credit Losses by Loan Type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5"/>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100" w:type="dxa"/>
            <w:vAlign w:val="bottom"/>
          </w:tcPr>
          <w:p>
            <w:pPr>
              <w:spacing w:after="0"/>
              <w:rPr>
                <w:sz w:val="11"/>
                <w:szCs w:val="11"/>
                <w:color w:val="auto"/>
              </w:rPr>
            </w:pPr>
          </w:p>
        </w:tc>
      </w:tr>
      <w:tr>
        <w:trPr>
          <w:trHeight w:val="132"/>
        </w:trPr>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8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Loans</w:t>
            </w:r>
          </w:p>
        </w:tc>
      </w:tr>
      <w:tr>
        <w:trPr>
          <w:trHeight w:val="132"/>
        </w:trPr>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66"/>
              <w:spacing w:after="0"/>
              <w:rPr>
                <w:sz w:val="20"/>
                <w:szCs w:val="20"/>
                <w:color w:val="auto"/>
              </w:rPr>
            </w:pPr>
            <w:r>
              <w:rPr>
                <w:rFonts w:ascii="Times New Roman" w:cs="Times New Roman" w:eastAsia="Times New Roman" w:hAnsi="Times New Roman"/>
                <w:sz w:val="11"/>
                <w:szCs w:val="11"/>
                <w:b w:val="1"/>
                <w:bCs w:val="1"/>
                <w:color w:val="auto"/>
                <w:w w:val="95"/>
              </w:rPr>
              <w:t>as % of</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66"/>
              <w:spacing w:after="0"/>
              <w:rPr>
                <w:sz w:val="20"/>
                <w:szCs w:val="20"/>
                <w:color w:val="auto"/>
              </w:rPr>
            </w:pPr>
            <w:r>
              <w:rPr>
                <w:rFonts w:ascii="Times New Roman" w:cs="Times New Roman" w:eastAsia="Times New Roman" w:hAnsi="Times New Roman"/>
                <w:sz w:val="11"/>
                <w:szCs w:val="11"/>
                <w:b w:val="1"/>
                <w:bCs w:val="1"/>
                <w:color w:val="auto"/>
                <w:w w:val="95"/>
              </w:rPr>
              <w:t>as % of</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5"/>
              </w:rPr>
              <w:t>as % of</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as % of</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as % of</w:t>
            </w:r>
          </w:p>
        </w:tc>
      </w:tr>
      <w:tr>
        <w:trPr>
          <w:trHeight w:val="132"/>
        </w:trPr>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780" w:type="dxa"/>
            <w:vAlign w:val="bottom"/>
            <w:gridSpan w:val="2"/>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60" w:type="dxa"/>
            <w:vAlign w:val="bottom"/>
          </w:tcPr>
          <w:p>
            <w:pPr>
              <w:spacing w:after="0"/>
              <w:rPr>
                <w:sz w:val="11"/>
                <w:szCs w:val="11"/>
                <w:color w:val="auto"/>
              </w:rPr>
            </w:pPr>
          </w:p>
        </w:tc>
        <w:tc>
          <w:tcPr>
            <w:tcW w:w="86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780" w:type="dxa"/>
            <w:vAlign w:val="bottom"/>
            <w:gridSpan w:val="2"/>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6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180" w:type="dxa"/>
            <w:vAlign w:val="bottom"/>
          </w:tcPr>
          <w:p>
            <w:pPr>
              <w:spacing w:after="0"/>
              <w:rPr>
                <w:sz w:val="11"/>
                <w:szCs w:val="11"/>
                <w:color w:val="auto"/>
              </w:rPr>
            </w:pPr>
          </w:p>
        </w:tc>
        <w:tc>
          <w:tcPr>
            <w:tcW w:w="900" w:type="dxa"/>
            <w:vAlign w:val="bottom"/>
            <w:gridSpan w:val="2"/>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3"/>
              </w:rPr>
              <w:t>Allowance</w:t>
            </w:r>
          </w:p>
        </w:tc>
        <w:tc>
          <w:tcPr>
            <w:tcW w:w="160" w:type="dxa"/>
            <w:vAlign w:val="bottom"/>
          </w:tcPr>
          <w:p>
            <w:pPr>
              <w:spacing w:after="0"/>
              <w:rPr>
                <w:sz w:val="11"/>
                <w:szCs w:val="11"/>
                <w:color w:val="auto"/>
              </w:rPr>
            </w:pPr>
          </w:p>
        </w:tc>
        <w:tc>
          <w:tcPr>
            <w:tcW w:w="920" w:type="dxa"/>
            <w:vAlign w:val="bottom"/>
            <w:gridSpan w:val="2"/>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1"/>
                <w:szCs w:val="11"/>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160" w:type="dxa"/>
            <w:vAlign w:val="bottom"/>
          </w:tcPr>
          <w:p>
            <w:pPr>
              <w:spacing w:after="0"/>
              <w:rPr>
                <w:sz w:val="11"/>
                <w:szCs w:val="11"/>
                <w:color w:val="auto"/>
              </w:rPr>
            </w:pPr>
          </w:p>
        </w:tc>
        <w:tc>
          <w:tcPr>
            <w:tcW w:w="880" w:type="dxa"/>
            <w:vAlign w:val="bottom"/>
            <w:gridSpan w:val="2"/>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32"/>
        </w:trPr>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780" w:type="dxa"/>
            <w:vAlign w:val="bottom"/>
            <w:gridSpan w:val="2"/>
          </w:tcPr>
          <w:p>
            <w:pPr>
              <w:jc w:val="center"/>
              <w:ind w:right="28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60" w:type="dxa"/>
            <w:vAlign w:val="bottom"/>
          </w:tcPr>
          <w:p>
            <w:pPr>
              <w:spacing w:after="0"/>
              <w:rPr>
                <w:sz w:val="11"/>
                <w:szCs w:val="11"/>
                <w:color w:val="auto"/>
              </w:rPr>
            </w:pPr>
          </w:p>
        </w:tc>
        <w:tc>
          <w:tcPr>
            <w:tcW w:w="86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780" w:type="dxa"/>
            <w:vAlign w:val="bottom"/>
            <w:gridSpan w:val="2"/>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1"/>
                <w:szCs w:val="11"/>
                <w:color w:val="auto"/>
              </w:rPr>
            </w:pPr>
          </w:p>
        </w:tc>
        <w:tc>
          <w:tcPr>
            <w:tcW w:w="900" w:type="dxa"/>
            <w:vAlign w:val="bottom"/>
            <w:gridSpan w:val="2"/>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60" w:type="dxa"/>
            <w:vAlign w:val="bottom"/>
          </w:tcPr>
          <w:p>
            <w:pPr>
              <w:spacing w:after="0"/>
              <w:rPr>
                <w:sz w:val="11"/>
                <w:szCs w:val="11"/>
                <w:color w:val="auto"/>
              </w:rPr>
            </w:pPr>
          </w:p>
        </w:tc>
        <w:tc>
          <w:tcPr>
            <w:tcW w:w="920" w:type="dxa"/>
            <w:vAlign w:val="bottom"/>
            <w:gridSpan w:val="2"/>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80" w:type="dxa"/>
            <w:vAlign w:val="bottom"/>
          </w:tcPr>
          <w:p>
            <w:pPr>
              <w:spacing w:after="0"/>
              <w:rPr>
                <w:sz w:val="11"/>
                <w:szCs w:val="11"/>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60" w:type="dxa"/>
            <w:vAlign w:val="bottom"/>
          </w:tcPr>
          <w:p>
            <w:pPr>
              <w:spacing w:after="0"/>
              <w:rPr>
                <w:sz w:val="11"/>
                <w:szCs w:val="11"/>
                <w:color w:val="auto"/>
              </w:rPr>
            </w:pPr>
          </w:p>
        </w:tc>
        <w:tc>
          <w:tcPr>
            <w:tcW w:w="880" w:type="dxa"/>
            <w:vAlign w:val="bottom"/>
            <w:gridSpan w:val="2"/>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Loans</w:t>
            </w:r>
          </w:p>
        </w:tc>
      </w:tr>
      <w:tr>
        <w:trPr>
          <w:trHeight w:val="134"/>
        </w:trPr>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5"/>
          </w:tcPr>
          <w:p>
            <w:pPr>
              <w:jc w:val="right"/>
              <w:ind w:right="34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66,237</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76.2 %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69,466</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76.2 %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64,806</w:t>
            </w:r>
          </w:p>
        </w:tc>
        <w:tc>
          <w:tcPr>
            <w:tcW w:w="2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75.8 %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50,950</w:t>
            </w:r>
          </w:p>
        </w:tc>
        <w:tc>
          <w:tcPr>
            <w:tcW w:w="2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73.4 %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75,439</w:t>
            </w:r>
          </w:p>
        </w:tc>
        <w:tc>
          <w:tcPr>
            <w:tcW w:w="4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65.9 %</w:t>
            </w:r>
          </w:p>
        </w:tc>
      </w:tr>
      <w:tr>
        <w:trPr>
          <w:trHeight w:val="132"/>
        </w:trPr>
        <w:tc>
          <w:tcPr>
            <w:tcW w:w="1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Construction</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0.2%</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1,277</w:t>
            </w:r>
          </w:p>
        </w:tc>
        <w:tc>
          <w:tcPr>
            <w:tcW w:w="120" w:type="dxa"/>
            <w:vAlign w:val="bottom"/>
          </w:tcPr>
          <w:p>
            <w:pPr>
              <w:spacing w:after="0"/>
              <w:rPr>
                <w:sz w:val="11"/>
                <w:szCs w:val="11"/>
                <w:color w:val="auto"/>
              </w:rPr>
            </w:pPr>
          </w:p>
        </w:tc>
        <w:tc>
          <w:tcPr>
            <w:tcW w:w="7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0.8%</w:t>
            </w:r>
          </w:p>
        </w:tc>
        <w:tc>
          <w:tcPr>
            <w:tcW w:w="6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1,702</w:t>
            </w:r>
          </w:p>
        </w:tc>
        <w:tc>
          <w:tcPr>
            <w:tcW w:w="108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w:t>
            </w:r>
          </w:p>
        </w:tc>
        <w:tc>
          <w:tcPr>
            <w:tcW w:w="20" w:type="dxa"/>
            <w:vAlign w:val="bottom"/>
          </w:tcPr>
          <w:p>
            <w:pPr>
              <w:spacing w:after="0"/>
              <w:rPr>
                <w:sz w:val="11"/>
                <w:szCs w:val="11"/>
                <w:color w:val="auto"/>
              </w:rPr>
            </w:pPr>
          </w:p>
        </w:tc>
        <w:tc>
          <w:tcPr>
            <w:tcW w:w="108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1,934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32"/>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2,629</w:t>
            </w: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3.2%</w:t>
            </w:r>
          </w:p>
        </w:tc>
        <w:tc>
          <w:tcPr>
            <w:tcW w:w="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2,679</w:t>
            </w: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3.0%</w:t>
            </w: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2,809</w:t>
            </w:r>
          </w:p>
        </w:tc>
        <w:tc>
          <w:tcPr>
            <w:tcW w:w="1080" w:type="dxa"/>
            <w:vAlign w:val="bottom"/>
            <w:gridSpan w:val="3"/>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3.2%</w:t>
            </w: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2,668</w:t>
            </w:r>
          </w:p>
        </w:tc>
        <w:tc>
          <w:tcPr>
            <w:tcW w:w="1080" w:type="dxa"/>
            <w:vAlign w:val="bottom"/>
            <w:gridSpan w:val="3"/>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2,992</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32"/>
        </w:trPr>
        <w:tc>
          <w:tcPr>
            <w:tcW w:w="1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SBA - PPP</w:t>
            </w:r>
          </w:p>
        </w:tc>
        <w:tc>
          <w:tcPr>
            <w:tcW w:w="80" w:type="dxa"/>
            <w:vAlign w:val="bottom"/>
          </w:tcPr>
          <w:p>
            <w:pPr>
              <w:spacing w:after="0"/>
              <w:rPr>
                <w:sz w:val="11"/>
                <w:szCs w:val="11"/>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10.6 %</w:t>
            </w:r>
          </w:p>
        </w:tc>
      </w:tr>
      <w:tr>
        <w:trPr>
          <w:trHeight w:val="132"/>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6,093</w:t>
            </w: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10.8 %</w:t>
            </w:r>
          </w:p>
        </w:tc>
        <w:tc>
          <w:tcPr>
            <w:tcW w:w="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9,116</w:t>
            </w: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10.9 %</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10,206</w:t>
            </w:r>
          </w:p>
        </w:tc>
        <w:tc>
          <w:tcPr>
            <w:tcW w:w="2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10.5 %</w:t>
            </w: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6,669</w:t>
            </w:r>
          </w:p>
        </w:tc>
        <w:tc>
          <w:tcPr>
            <w:tcW w:w="1080" w:type="dxa"/>
            <w:vAlign w:val="bottom"/>
            <w:gridSpan w:val="3"/>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10.3 %</w:t>
            </w: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7,142</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w:t>
            </w:r>
          </w:p>
        </w:tc>
      </w:tr>
      <w:tr>
        <w:trPr>
          <w:trHeight w:val="132"/>
        </w:trPr>
        <w:tc>
          <w:tcPr>
            <w:tcW w:w="1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Dairy &amp; livestock and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1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agribusiness</w:t>
            </w:r>
          </w:p>
        </w:tc>
        <w:tc>
          <w:tcPr>
            <w:tcW w:w="8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3,610</w:t>
            </w:r>
          </w:p>
        </w:tc>
        <w:tc>
          <w:tcPr>
            <w:tcW w:w="120" w:type="dxa"/>
            <w:vAlign w:val="bottom"/>
          </w:tcPr>
          <w:p>
            <w:pPr>
              <w:spacing w:after="0"/>
              <w:rPr>
                <w:sz w:val="11"/>
                <w:szCs w:val="11"/>
                <w:color w:val="auto"/>
              </w:rPr>
            </w:pPr>
          </w:p>
        </w:tc>
        <w:tc>
          <w:tcPr>
            <w:tcW w:w="7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4.9%</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3,098</w:t>
            </w:r>
          </w:p>
        </w:tc>
        <w:tc>
          <w:tcPr>
            <w:tcW w:w="120" w:type="dxa"/>
            <w:vAlign w:val="bottom"/>
          </w:tcPr>
          <w:p>
            <w:pPr>
              <w:spacing w:after="0"/>
              <w:rPr>
                <w:sz w:val="11"/>
                <w:szCs w:val="11"/>
                <w:color w:val="auto"/>
              </w:rPr>
            </w:pPr>
          </w:p>
        </w:tc>
        <w:tc>
          <w:tcPr>
            <w:tcW w:w="7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4.7%</w:t>
            </w:r>
          </w:p>
        </w:tc>
        <w:tc>
          <w:tcPr>
            <w:tcW w:w="6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4,400</w:t>
            </w:r>
          </w:p>
        </w:tc>
        <w:tc>
          <w:tcPr>
            <w:tcW w:w="108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4.8%</w:t>
            </w:r>
          </w:p>
        </w:tc>
        <w:tc>
          <w:tcPr>
            <w:tcW w:w="6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3,066</w:t>
            </w:r>
          </w:p>
        </w:tc>
        <w:tc>
          <w:tcPr>
            <w:tcW w:w="108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3,949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4.4%</w:t>
            </w:r>
          </w:p>
        </w:tc>
      </w:tr>
      <w:tr>
        <w:trPr>
          <w:trHeight w:val="132"/>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Municipal lease finance</w:t>
            </w: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2"/>
        </w:trPr>
        <w:tc>
          <w:tcPr>
            <w:tcW w:w="1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receivables</w:t>
            </w: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0.8%</w:t>
            </w: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0.8%</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2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0.9%</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0.6%</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4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32"/>
        </w:trPr>
        <w:tc>
          <w:tcPr>
            <w:tcW w:w="1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SFR mortgage</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3.2%</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3.0%</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20" w:type="dxa"/>
            <w:vAlign w:val="bottom"/>
          </w:tcPr>
          <w:p>
            <w:pPr>
              <w:spacing w:after="0"/>
              <w:rPr>
                <w:sz w:val="11"/>
                <w:szCs w:val="11"/>
                <w:color w:val="auto"/>
              </w:rPr>
            </w:pPr>
          </w:p>
        </w:tc>
        <w:tc>
          <w:tcPr>
            <w:tcW w:w="108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2.9%</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20" w:type="dxa"/>
            <w:vAlign w:val="bottom"/>
          </w:tcPr>
          <w:p>
            <w:pPr>
              <w:spacing w:after="0"/>
              <w:rPr>
                <w:sz w:val="11"/>
                <w:szCs w:val="11"/>
                <w:color w:val="auto"/>
              </w:rPr>
            </w:pPr>
          </w:p>
        </w:tc>
        <w:tc>
          <w:tcPr>
            <w:tcW w:w="108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40" w:type="dxa"/>
            <w:vAlign w:val="bottom"/>
          </w:tcPr>
          <w:p>
            <w:pPr>
              <w:spacing w:after="0"/>
              <w:rPr>
                <w:sz w:val="11"/>
                <w:szCs w:val="1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32"/>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Consumer and other loans</w:t>
            </w: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0.7%</w:t>
            </w: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0.6%</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2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0.8%</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2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1,795</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1980" w:type="dxa"/>
            <w:vAlign w:val="bottom"/>
          </w:tcPr>
          <w:p>
            <w:pPr>
              <w:ind w:left="140"/>
              <w:spacing w:after="0" w:line="124" w:lineRule="exact"/>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80,122</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100.0</w:t>
            </w:r>
          </w:p>
        </w:tc>
        <w:tc>
          <w:tcPr>
            <w:tcW w:w="200" w:type="dxa"/>
            <w:vAlign w:val="bottom"/>
          </w:tcPr>
          <w:p>
            <w:pPr>
              <w:jc w:val="right"/>
              <w:ind w:right="46"/>
              <w:spacing w:after="0" w:line="124" w:lineRule="exact"/>
              <w:rPr>
                <w:sz w:val="20"/>
                <w:szCs w:val="20"/>
                <w:color w:val="auto"/>
              </w:rPr>
            </w:pPr>
            <w:r>
              <w:rPr>
                <w:rFonts w:ascii="Times New Roman" w:cs="Times New Roman" w:eastAsia="Times New Roman" w:hAnsi="Times New Roman"/>
                <w:sz w:val="11"/>
                <w:szCs w:val="11"/>
                <w:color w:val="auto"/>
                <w:w w:val="86"/>
              </w:rPr>
              <w:t>%</w:t>
            </w:r>
          </w:p>
        </w:tc>
        <w:tc>
          <w:tcPr>
            <w:tcW w:w="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86,842</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100.0</w:t>
            </w:r>
          </w:p>
        </w:tc>
        <w:tc>
          <w:tcPr>
            <w:tcW w:w="200" w:type="dxa"/>
            <w:vAlign w:val="bottom"/>
          </w:tcPr>
          <w:p>
            <w:pPr>
              <w:jc w:val="right"/>
              <w:ind w:right="46"/>
              <w:spacing w:after="0" w:line="124" w:lineRule="exact"/>
              <w:rPr>
                <w:sz w:val="20"/>
                <w:szCs w:val="20"/>
                <w:color w:val="auto"/>
              </w:rPr>
            </w:pPr>
            <w:r>
              <w:rPr>
                <w:rFonts w:ascii="Times New Roman" w:cs="Times New Roman" w:eastAsia="Times New Roman" w:hAnsi="Times New Roman"/>
                <w:sz w:val="11"/>
                <w:szCs w:val="11"/>
                <w:color w:val="auto"/>
                <w:w w:val="86"/>
              </w:rPr>
              <w:t>%</w:t>
            </w:r>
          </w:p>
        </w:tc>
        <w:tc>
          <w:tcPr>
            <w:tcW w:w="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85,117</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100.0</w:t>
            </w:r>
          </w:p>
        </w:tc>
        <w:tc>
          <w:tcPr>
            <w:tcW w:w="200" w:type="dxa"/>
            <w:vAlign w:val="bottom"/>
          </w:tcPr>
          <w:p>
            <w:pPr>
              <w:jc w:val="right"/>
              <w:ind w:right="46"/>
              <w:spacing w:after="0" w:line="124" w:lineRule="exact"/>
              <w:rPr>
                <w:sz w:val="20"/>
                <w:szCs w:val="20"/>
                <w:color w:val="auto"/>
              </w:rPr>
            </w:pPr>
            <w:r>
              <w:rPr>
                <w:rFonts w:ascii="Times New Roman" w:cs="Times New Roman" w:eastAsia="Times New Roman" w:hAnsi="Times New Roman"/>
                <w:sz w:val="11"/>
                <w:szCs w:val="11"/>
                <w:color w:val="auto"/>
                <w:w w:val="86"/>
              </w:rPr>
              <w:t>%</w:t>
            </w:r>
          </w:p>
        </w:tc>
        <w:tc>
          <w:tcPr>
            <w:tcW w:w="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65,019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100.0</w:t>
            </w:r>
          </w:p>
        </w:tc>
        <w:tc>
          <w:tcPr>
            <w:tcW w:w="200" w:type="dxa"/>
            <w:vAlign w:val="bottom"/>
          </w:tcPr>
          <w:p>
            <w:pPr>
              <w:jc w:val="right"/>
              <w:ind w:right="46"/>
              <w:spacing w:after="0" w:line="124" w:lineRule="exact"/>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93,692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100.0</w:t>
            </w:r>
          </w:p>
        </w:tc>
        <w:tc>
          <w:tcPr>
            <w:tcW w:w="10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w w:val="86"/>
              </w:rPr>
              <w:t>%</w:t>
            </w:r>
          </w:p>
        </w:tc>
      </w:tr>
      <w:tr>
        <w:trPr>
          <w:trHeight w:val="20"/>
        </w:trPr>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ACL/Total Loan Coverage Ratio as of December 31, 2024 decreased to 0.94%, compared to 0.98% as of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Deposits</w:t>
      </w:r>
    </w:p>
    <w:p>
      <w:pPr>
        <w:spacing w:after="0" w:line="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primary source of funds to support earning assets (loans and investments) is the generation of deposits.</w:t>
      </w:r>
    </w:p>
    <w:p>
      <w:pPr>
        <w:spacing w:after="0" w:line="152" w:lineRule="exact"/>
        <w:rPr>
          <w:sz w:val="20"/>
          <w:szCs w:val="20"/>
          <w:color w:val="auto"/>
        </w:rPr>
      </w:pPr>
    </w:p>
    <w:p>
      <w:pPr>
        <w:ind w:right="340" w:firstLine="588"/>
        <w:spacing w:after="0" w:line="259" w:lineRule="auto"/>
        <w:rPr>
          <w:sz w:val="20"/>
          <w:szCs w:val="20"/>
          <w:color w:val="auto"/>
        </w:rPr>
      </w:pPr>
      <w:r>
        <w:rPr>
          <w:rFonts w:ascii="Times New Roman" w:cs="Times New Roman" w:eastAsia="Times New Roman" w:hAnsi="Times New Roman"/>
          <w:sz w:val="16"/>
          <w:szCs w:val="16"/>
          <w:color w:val="auto"/>
        </w:rPr>
        <w:t>Total deposits were $11.95 billion at December 31, 2024. This represented an increase of $514.7 million, or 4.50%, from total deposits of $11.43 billion at December 31, 2023. This increase was partially due to a $300 million increase in brokered deposits in 2024.</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average balance of deposits by category and the average effective interest rates paid on deposits is summarized for the periods presented in the table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3"/>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0"/>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b w:val="1"/>
                <w:bCs w:val="1"/>
                <w:color w:val="auto"/>
              </w:rPr>
              <w:t>2023</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2022</w:t>
            </w:r>
          </w:p>
        </w:tc>
        <w:tc>
          <w:tcPr>
            <w:tcW w:w="1000" w:type="dxa"/>
            <w:vAlign w:val="bottom"/>
          </w:tcPr>
          <w:p>
            <w:pPr>
              <w:spacing w:after="0"/>
              <w:rPr>
                <w:sz w:val="15"/>
                <w:szCs w:val="15"/>
                <w:color w:val="auto"/>
              </w:rPr>
            </w:pPr>
          </w:p>
        </w:tc>
      </w:tr>
      <w:tr>
        <w:trPr>
          <w:trHeight w:val="180"/>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center"/>
              <w:ind w:left="743"/>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3"/>
        </w:trPr>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180" w:type="dxa"/>
            <w:vAlign w:val="bottom"/>
            <w:gridSpan w:val="2"/>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Rate</w:t>
            </w:r>
          </w:p>
        </w:tc>
        <w:tc>
          <w:tcPr>
            <w:tcW w:w="158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940" w:type="dxa"/>
            <w:vAlign w:val="bottom"/>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Rate</w:t>
            </w:r>
          </w:p>
        </w:tc>
        <w:tc>
          <w:tcPr>
            <w:tcW w:w="220" w:type="dxa"/>
            <w:vAlign w:val="bottom"/>
          </w:tcPr>
          <w:p>
            <w:pPr>
              <w:spacing w:after="0"/>
              <w:rPr>
                <w:sz w:val="16"/>
                <w:szCs w:val="16"/>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Rate</w:t>
            </w:r>
          </w:p>
        </w:tc>
      </w:tr>
      <w:tr>
        <w:trPr>
          <w:trHeight w:val="182"/>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9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7,144,129</w:t>
            </w:r>
          </w:p>
        </w:tc>
        <w:tc>
          <w:tcPr>
            <w:tcW w:w="2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   $</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7,793,336</w:t>
            </w:r>
          </w:p>
        </w:tc>
        <w:tc>
          <w:tcPr>
            <w:tcW w:w="4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8,839,577</w:t>
            </w:r>
          </w:p>
        </w:tc>
        <w:tc>
          <w:tcPr>
            <w:tcW w:w="3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9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9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Investment checking</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527,922</w:t>
            </w:r>
          </w:p>
        </w:tc>
        <w:tc>
          <w:tcPr>
            <w:tcW w:w="9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0.22%</w:t>
            </w:r>
          </w:p>
        </w:tc>
        <w:tc>
          <w:tcPr>
            <w:tcW w:w="2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623,850</w:t>
            </w:r>
          </w:p>
        </w:tc>
        <w:tc>
          <w:tcPr>
            <w:tcW w:w="9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0.19%</w:t>
            </w: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747,944</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r>
      <w:tr>
        <w:trPr>
          <w:trHeight w:val="180"/>
        </w:trPr>
        <w:tc>
          <w:tcPr>
            <w:tcW w:w="29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Money market</w:t>
            </w:r>
          </w:p>
        </w:tc>
        <w:tc>
          <w:tcPr>
            <w:tcW w:w="1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3,172,463</w:t>
            </w:r>
          </w:p>
        </w:tc>
        <w:tc>
          <w:tcPr>
            <w:tcW w:w="240" w:type="dxa"/>
            <w:vAlign w:val="bottom"/>
          </w:tcPr>
          <w:p>
            <w:pPr>
              <w:spacing w:after="0"/>
              <w:rPr>
                <w:sz w:val="15"/>
                <w:szCs w:val="15"/>
                <w:color w:val="auto"/>
              </w:rPr>
            </w:pPr>
          </w:p>
        </w:tc>
        <w:tc>
          <w:tcPr>
            <w:tcW w:w="9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26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3,202,417</w:t>
            </w:r>
          </w:p>
        </w:tc>
        <w:tc>
          <w:tcPr>
            <w:tcW w:w="460" w:type="dxa"/>
            <w:vAlign w:val="bottom"/>
          </w:tcPr>
          <w:p>
            <w:pPr>
              <w:spacing w:after="0"/>
              <w:rPr>
                <w:sz w:val="15"/>
                <w:szCs w:val="15"/>
                <w:color w:val="auto"/>
              </w:rPr>
            </w:pPr>
          </w:p>
        </w:tc>
        <w:tc>
          <w:tcPr>
            <w:tcW w:w="9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1.49%</w:t>
            </w:r>
          </w:p>
        </w:tc>
        <w:tc>
          <w:tcPr>
            <w:tcW w:w="2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3,509,750</w:t>
            </w:r>
          </w:p>
        </w:tc>
        <w:tc>
          <w:tcPr>
            <w:tcW w:w="3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0.17%</w:t>
            </w:r>
          </w:p>
        </w:tc>
      </w:tr>
      <w:tr>
        <w:trPr>
          <w:trHeight w:val="216"/>
        </w:trPr>
        <w:tc>
          <w:tcPr>
            <w:tcW w:w="2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Savings</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443,068</w:t>
            </w:r>
          </w:p>
        </w:tc>
        <w:tc>
          <w:tcPr>
            <w:tcW w:w="920" w:type="dxa"/>
            <w:vAlign w:val="bottom"/>
            <w:shd w:val="clear" w:color="auto" w:fill="CFF0FC"/>
          </w:tcPr>
          <w:p>
            <w:pPr>
              <w:jc w:val="right"/>
              <w:ind w:right="24"/>
              <w:spacing w:after="0" w:line="216" w:lineRule="exact"/>
              <w:rPr>
                <w:sz w:val="20"/>
                <w:szCs w:val="20"/>
                <w:color w:val="auto"/>
              </w:rPr>
            </w:pPr>
            <w:r>
              <w:rPr>
                <w:rFonts w:ascii="Times New Roman" w:cs="Times New Roman" w:eastAsia="Times New Roman" w:hAnsi="Times New Roman"/>
                <w:sz w:val="13"/>
                <w:szCs w:val="13"/>
                <w:color w:val="auto"/>
              </w:rPr>
              <w:t>0.06</w:t>
            </w:r>
            <w:r>
              <w:rPr>
                <w:rFonts w:ascii="Times New Roman" w:cs="Times New Roman" w:eastAsia="Times New Roman" w:hAnsi="Times New Roman"/>
                <w:sz w:val="25"/>
                <w:szCs w:val="25"/>
                <w:color w:val="auto"/>
                <w:vertAlign w:val="subscript"/>
              </w:rPr>
              <w:t>%</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514,262</w:t>
            </w:r>
          </w:p>
        </w:tc>
        <w:tc>
          <w:tcPr>
            <w:tcW w:w="940" w:type="dxa"/>
            <w:vAlign w:val="bottom"/>
            <w:shd w:val="clear" w:color="auto" w:fill="CFF0FC"/>
          </w:tcPr>
          <w:p>
            <w:pPr>
              <w:jc w:val="right"/>
              <w:ind w:right="24"/>
              <w:spacing w:after="0" w:line="216" w:lineRule="exact"/>
              <w:rPr>
                <w:sz w:val="20"/>
                <w:szCs w:val="20"/>
                <w:color w:val="auto"/>
              </w:rPr>
            </w:pPr>
            <w:r>
              <w:rPr>
                <w:rFonts w:ascii="Times New Roman" w:cs="Times New Roman" w:eastAsia="Times New Roman" w:hAnsi="Times New Roman"/>
                <w:sz w:val="13"/>
                <w:szCs w:val="13"/>
                <w:color w:val="auto"/>
              </w:rPr>
              <w:t>0.05</w:t>
            </w:r>
            <w:r>
              <w:rPr>
                <w:rFonts w:ascii="Times New Roman" w:cs="Times New Roman" w:eastAsia="Times New Roman" w:hAnsi="Times New Roman"/>
                <w:sz w:val="25"/>
                <w:szCs w:val="25"/>
                <w:color w:val="auto"/>
                <w:vertAlign w:val="subscript"/>
              </w:rPr>
              <w:t>%</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608,809</w:t>
            </w:r>
          </w:p>
        </w:tc>
        <w:tc>
          <w:tcPr>
            <w:tcW w:w="100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3"/>
                <w:szCs w:val="13"/>
                <w:color w:val="auto"/>
              </w:rPr>
              <w:t>0.05</w:t>
            </w:r>
            <w:r>
              <w:rPr>
                <w:rFonts w:ascii="Times New Roman" w:cs="Times New Roman" w:eastAsia="Times New Roman" w:hAnsi="Times New Roman"/>
                <w:sz w:val="25"/>
                <w:szCs w:val="25"/>
                <w:color w:val="auto"/>
                <w:vertAlign w:val="subscript"/>
              </w:rPr>
              <w:t>%</w:t>
            </w:r>
          </w:p>
        </w:tc>
      </w:tr>
      <w:tr>
        <w:trPr>
          <w:trHeight w:val="180"/>
        </w:trPr>
        <w:tc>
          <w:tcPr>
            <w:tcW w:w="29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Time deposits</w:t>
            </w:r>
          </w:p>
        </w:tc>
        <w:tc>
          <w:tcPr>
            <w:tcW w:w="180" w:type="dxa"/>
            <w:vAlign w:val="bottom"/>
          </w:tcPr>
          <w:p>
            <w:pPr>
              <w:spacing w:after="0"/>
              <w:rPr>
                <w:sz w:val="15"/>
                <w:szCs w:val="15"/>
                <w:color w:val="auto"/>
              </w:rPr>
            </w:pPr>
          </w:p>
        </w:tc>
        <w:tc>
          <w:tcPr>
            <w:tcW w:w="11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635,728</w:t>
            </w:r>
          </w:p>
        </w:tc>
        <w:tc>
          <w:tcPr>
            <w:tcW w:w="9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3.14%</w:t>
            </w:r>
          </w:p>
        </w:tc>
        <w:tc>
          <w:tcPr>
            <w:tcW w:w="260" w:type="dxa"/>
            <w:vAlign w:val="bottom"/>
          </w:tcPr>
          <w:p>
            <w:pPr>
              <w:spacing w:after="0"/>
              <w:rPr>
                <w:sz w:val="15"/>
                <w:szCs w:val="15"/>
                <w:color w:val="auto"/>
              </w:rPr>
            </w:pPr>
          </w:p>
        </w:tc>
        <w:tc>
          <w:tcPr>
            <w:tcW w:w="1580" w:type="dxa"/>
            <w:vAlign w:val="bottom"/>
            <w:gridSpan w:val="2"/>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304,053</w:t>
            </w:r>
          </w:p>
        </w:tc>
        <w:tc>
          <w:tcPr>
            <w:tcW w:w="9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0.83%</w:t>
            </w:r>
          </w:p>
        </w:tc>
        <w:tc>
          <w:tcPr>
            <w:tcW w:w="220" w:type="dxa"/>
            <w:vAlign w:val="bottom"/>
          </w:tcPr>
          <w:p>
            <w:pPr>
              <w:spacing w:after="0"/>
              <w:rPr>
                <w:sz w:val="15"/>
                <w:szCs w:val="15"/>
                <w:color w:val="auto"/>
              </w:rPr>
            </w:pPr>
          </w:p>
        </w:tc>
        <w:tc>
          <w:tcPr>
            <w:tcW w:w="1340" w:type="dxa"/>
            <w:vAlign w:val="bottom"/>
            <w:gridSpan w:val="2"/>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358,578</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0.07%</w:t>
            </w:r>
          </w:p>
        </w:tc>
      </w:tr>
      <w:tr>
        <w:trPr>
          <w:trHeight w:val="220"/>
        </w:trPr>
        <w:tc>
          <w:tcPr>
            <w:tcW w:w="2940" w:type="dxa"/>
            <w:vAlign w:val="bottom"/>
            <w:tcBorders>
              <w:bottom w:val="single" w:sz="8" w:color="CFF0FC"/>
            </w:tcBorders>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Total deposits</w:t>
            </w: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11,923,310</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12,437,918</w:t>
            </w:r>
          </w:p>
        </w:tc>
        <w:tc>
          <w:tcPr>
            <w:tcW w:w="4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14,064,658</w:t>
            </w:r>
          </w:p>
        </w:tc>
        <w:tc>
          <w:tcPr>
            <w:tcW w:w="3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bl>
    <w:p>
      <w:pPr>
        <w:spacing w:after="0" w:line="167" w:lineRule="exact"/>
        <w:rPr>
          <w:sz w:val="20"/>
          <w:szCs w:val="20"/>
          <w:color w:val="auto"/>
        </w:rPr>
      </w:pPr>
    </w:p>
    <w:p>
      <w:pPr>
        <w:ind w:right="60" w:firstLine="600"/>
        <w:spacing w:after="0" w:line="247" w:lineRule="auto"/>
        <w:rPr>
          <w:sz w:val="20"/>
          <w:szCs w:val="20"/>
          <w:color w:val="auto"/>
        </w:rPr>
      </w:pPr>
      <w:r>
        <w:rPr>
          <w:rFonts w:ascii="Times New Roman" w:cs="Times New Roman" w:eastAsia="Times New Roman" w:hAnsi="Times New Roman"/>
          <w:sz w:val="16"/>
          <w:szCs w:val="16"/>
          <w:color w:val="auto"/>
        </w:rPr>
        <w:t>The amount of noninterest-bearing deposits in relation to total deposits is an integral element in our strategy of seeking to achieve a low cost of funds. Average noninterest-bearing deposits were $7.14 billion for 2024, representing a decrease of $649.21 million, or 8.33%, from average noninterest-bearing deposits of $7.79 billion for 2023. Average</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color w:val="auto"/>
        </w:rPr>
        <w:t>noninterest-bearing deposits represented 59.92% of total average deposits for 2024, compared to 62.66% of total average deposits for 2023.</w:t>
      </w:r>
    </w:p>
    <w:p>
      <w:pPr>
        <w:spacing w:after="0" w:line="152" w:lineRule="exact"/>
        <w:rPr>
          <w:sz w:val="20"/>
          <w:szCs w:val="20"/>
          <w:color w:val="auto"/>
        </w:rPr>
      </w:pPr>
    </w:p>
    <w:p>
      <w:pPr>
        <w:ind w:firstLine="588"/>
        <w:spacing w:after="0" w:line="259" w:lineRule="auto"/>
        <w:rPr>
          <w:sz w:val="20"/>
          <w:szCs w:val="20"/>
          <w:color w:val="auto"/>
        </w:rPr>
      </w:pPr>
      <w:r>
        <w:rPr>
          <w:rFonts w:ascii="Times New Roman" w:cs="Times New Roman" w:eastAsia="Times New Roman" w:hAnsi="Times New Roman"/>
          <w:sz w:val="16"/>
          <w:szCs w:val="16"/>
          <w:color w:val="auto"/>
        </w:rPr>
        <w:t>Average savings deposits, which include savings, interest-bearing demand, and money market accounts, were $4.14 billion for 2024, representing a decrease of $197 million, or 4.54%, from average savings deposits of $4.34 billion for 2023.</w:t>
      </w:r>
    </w:p>
    <w:p>
      <w:pPr>
        <w:spacing w:after="0" w:line="119" w:lineRule="exact"/>
        <w:rPr>
          <w:sz w:val="20"/>
          <w:szCs w:val="20"/>
          <w:color w:val="auto"/>
        </w:rPr>
      </w:pPr>
    </w:p>
    <w:p>
      <w:pPr>
        <w:ind w:right="320" w:firstLine="588"/>
        <w:spacing w:after="0" w:line="259" w:lineRule="auto"/>
        <w:rPr>
          <w:sz w:val="20"/>
          <w:szCs w:val="20"/>
          <w:color w:val="auto"/>
        </w:rPr>
      </w:pPr>
      <w:r>
        <w:rPr>
          <w:rFonts w:ascii="Times New Roman" w:cs="Times New Roman" w:eastAsia="Times New Roman" w:hAnsi="Times New Roman"/>
          <w:sz w:val="16"/>
          <w:szCs w:val="16"/>
          <w:color w:val="auto"/>
        </w:rPr>
        <w:t>Average time deposits totaled $635.7 million for 2024, representing an increase of $331.7 million, or 109.08%, from total average time deposits of $304.1 million for 2023.</w:t>
      </w:r>
    </w:p>
    <w:p>
      <w:pPr>
        <w:spacing w:after="0" w:line="119" w:lineRule="exact"/>
        <w:rPr>
          <w:sz w:val="20"/>
          <w:szCs w:val="20"/>
          <w:color w:val="auto"/>
        </w:rPr>
      </w:pPr>
    </w:p>
    <w:p>
      <w:pPr>
        <w:ind w:right="100" w:firstLine="588"/>
        <w:spacing w:after="0" w:line="239" w:lineRule="auto"/>
        <w:rPr>
          <w:sz w:val="20"/>
          <w:szCs w:val="20"/>
          <w:color w:val="auto"/>
        </w:rPr>
      </w:pPr>
      <w:r>
        <w:rPr>
          <w:rFonts w:ascii="Times New Roman" w:cs="Times New Roman" w:eastAsia="Times New Roman" w:hAnsi="Times New Roman"/>
          <w:sz w:val="16"/>
          <w:szCs w:val="16"/>
          <w:color w:val="auto"/>
        </w:rPr>
        <w:t>Our deposits are primarily relationship based core deposits and customer repurchase agreements ("repos") . We had $300 million of brokered deposits at the end of 2024 and none at the end of 2023, which accounted for the majority of the growth in time deposits. Our core customer deposits consist of 72% of business deposits and 28% consisting of consumer deposits, primarily the owners and employees of our business customers. The largest percentage of our deposits, 39%, are analyzed business accounts, which represent customer operating accounts that generally utilize a wide array of treasury management products. As most of our business customers need to operate with more than $250,000 in their operating account, we have a significant percentage of deposits that are uninsured. As of December 31, 2024, 45% of our total deposits and customer repos were uncollateralized and uninsured.</w:t>
      </w:r>
    </w:p>
    <w:p>
      <w:pPr>
        <w:spacing w:after="0" w:line="137" w:lineRule="exact"/>
        <w:rPr>
          <w:sz w:val="20"/>
          <w:szCs w:val="20"/>
          <w:color w:val="auto"/>
        </w:rPr>
      </w:pPr>
    </w:p>
    <w:p>
      <w:pPr>
        <w:ind w:right="260" w:firstLine="588"/>
        <w:spacing w:after="0" w:line="289" w:lineRule="auto"/>
        <w:rPr>
          <w:sz w:val="20"/>
          <w:szCs w:val="20"/>
          <w:color w:val="auto"/>
        </w:rPr>
      </w:pPr>
      <w:r>
        <w:rPr>
          <w:rFonts w:ascii="Times New Roman" w:cs="Times New Roman" w:eastAsia="Times New Roman" w:hAnsi="Times New Roman"/>
          <w:sz w:val="14"/>
          <w:szCs w:val="14"/>
          <w:color w:val="auto"/>
        </w:rPr>
        <w:t>Our customer deposit relationships represent long tenured customers representing a diverse set of industries. The industry classification with the largest concentration is construction, which represented approximately 8% of our deposits at December 31, 2024. Overall, there are 14 different industry classifications that represent 2% or more of our deposits as of December 31, 2024. Our depositors have typically banked with us for many years. As of December 31, 2024, 47% of our deposit relationships have banked with us more than 10 years and 77% of our deposit relationships have been with us for three or more years.</w:t>
      </w:r>
    </w:p>
    <w:p>
      <w:pPr>
        <w:spacing w:after="0" w:line="101" w:lineRule="exact"/>
        <w:rPr>
          <w:sz w:val="20"/>
          <w:szCs w:val="20"/>
          <w:color w:val="auto"/>
        </w:rPr>
      </w:pPr>
    </w:p>
    <w:p>
      <w:pPr>
        <w:ind w:right="20" w:firstLine="588"/>
        <w:spacing w:after="0" w:line="241" w:lineRule="auto"/>
        <w:rPr>
          <w:sz w:val="20"/>
          <w:szCs w:val="20"/>
          <w:color w:val="auto"/>
        </w:rPr>
      </w:pPr>
      <w:r>
        <w:rPr>
          <w:rFonts w:ascii="Times New Roman" w:cs="Times New Roman" w:eastAsia="Times New Roman" w:hAnsi="Times New Roman"/>
          <w:sz w:val="16"/>
          <w:szCs w:val="16"/>
          <w:color w:val="auto"/>
        </w:rPr>
        <w:t>Total deposits and customer repos were $ 12.21 billion at December 31, 2024, a $505.0 million, or 4.31%, increase from December 31, 2023. The unprecedented increase in short-term interest rates impacted the mix of our deposits. Overall, we have experienced a decline in noninterest-bearing deposit levels and an increase in interest-bearing deposit levels due to the impact of higher interest rates that has led to deposits moving to higher yielding alternatives, such as our money market and time deposit products. We also experienced noninterest-bearing deposits being transferred from the Bank’s balance sheet by customers to be invested by CitizensTrust in higher yielding instruments such as United States treasury notes or bonds.</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following table provides the remaining maturities of large denomination ($250,000 or more) time deposits, including public funds, at December 31, 2024.</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Maturity Distribution of Large Denomination Time Deposits</w:t>
      </w:r>
    </w:p>
    <w:p>
      <w:pPr>
        <w:spacing w:after="0" w:line="196"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0" w:type="dxa"/>
            <w:vAlign w:val="bottom"/>
          </w:tcPr>
          <w:p>
            <w:pPr>
              <w:spacing w:after="0"/>
              <w:rPr>
                <w:sz w:val="1"/>
                <w:szCs w:val="1"/>
                <w:color w:val="auto"/>
              </w:rPr>
            </w:pPr>
          </w:p>
        </w:tc>
      </w:tr>
      <w:tr>
        <w:trPr>
          <w:trHeight w:val="180"/>
        </w:trPr>
        <w:tc>
          <w:tcPr>
            <w:tcW w:w="5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3 months or less</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68,755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Over 3 months through 6 months</w:t>
            </w:r>
          </w:p>
        </w:tc>
        <w:tc>
          <w:tcPr>
            <w:tcW w:w="200" w:type="dxa"/>
            <w:vAlign w:val="bottom"/>
          </w:tcPr>
          <w:p>
            <w:pPr>
              <w:spacing w:after="0"/>
              <w:rPr>
                <w:sz w:val="15"/>
                <w:szCs w:val="15"/>
                <w:color w:val="auto"/>
              </w:rPr>
            </w:pP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13,227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Over 6 months through 12 months</w:t>
            </w:r>
          </w:p>
        </w:tc>
        <w:tc>
          <w:tcPr>
            <w:tcW w:w="200" w:type="dxa"/>
            <w:vAlign w:val="bottom"/>
            <w:shd w:val="clear" w:color="auto" w:fill="CFF0FC"/>
          </w:tcPr>
          <w:p>
            <w:pPr>
              <w:spacing w:after="0"/>
              <w:rPr>
                <w:sz w:val="15"/>
                <w:szCs w:val="15"/>
                <w:color w:val="auto"/>
              </w:rPr>
            </w:pPr>
          </w:p>
        </w:tc>
        <w:tc>
          <w:tcPr>
            <w:tcW w:w="1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16,869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Over 12 months</w:t>
            </w:r>
          </w:p>
        </w:tc>
        <w:tc>
          <w:tcPr>
            <w:tcW w:w="200" w:type="dxa"/>
            <w:vAlign w:val="bottom"/>
          </w:tcPr>
          <w:p>
            <w:pPr>
              <w:spacing w:after="0"/>
              <w:rPr>
                <w:sz w:val="17"/>
                <w:szCs w:val="17"/>
                <w:color w:val="auto"/>
              </w:rPr>
            </w:pPr>
          </w:p>
        </w:tc>
        <w:tc>
          <w:tcPr>
            <w:tcW w:w="1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3,361</w:t>
            </w:r>
          </w:p>
        </w:tc>
        <w:tc>
          <w:tcPr>
            <w:tcW w:w="0" w:type="dxa"/>
            <w:vAlign w:val="bottom"/>
          </w:tcPr>
          <w:p>
            <w:pPr>
              <w:spacing w:after="0"/>
              <w:rPr>
                <w:sz w:val="1"/>
                <w:szCs w:val="1"/>
                <w:color w:val="auto"/>
              </w:rPr>
            </w:pPr>
          </w:p>
        </w:tc>
      </w:tr>
      <w:tr>
        <w:trPr>
          <w:trHeight w:val="37"/>
        </w:trPr>
        <w:tc>
          <w:tcPr>
            <w:tcW w:w="5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5280" w:type="dxa"/>
            <w:vAlign w:val="bottom"/>
            <w:tcBorders>
              <w:bottom w:val="single" w:sz="8" w:color="CFF0FC"/>
            </w:tcBorders>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102,212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80" w:firstLine="600"/>
        <w:spacing w:after="0" w:line="259" w:lineRule="auto"/>
        <w:rPr>
          <w:sz w:val="20"/>
          <w:szCs w:val="20"/>
          <w:color w:val="auto"/>
        </w:rPr>
      </w:pPr>
      <w:r>
        <w:rPr>
          <w:rFonts w:ascii="Times New Roman" w:cs="Times New Roman" w:eastAsia="Times New Roman" w:hAnsi="Times New Roman"/>
          <w:sz w:val="16"/>
          <w:szCs w:val="16"/>
          <w:color w:val="auto"/>
        </w:rPr>
        <w:t>Time deposits totaled $573.6 million at December 31, 2024, representing an increase of $177.2 million, or 44.70%, from total time deposits of $396.4 million at December 31, 2023.</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21" w:right="70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i w:val="1"/>
          <w:iCs w:val="1"/>
          <w:color w:val="auto"/>
        </w:rPr>
        <w:t>Borrowings</w:t>
      </w:r>
    </w:p>
    <w:p>
      <w:pPr>
        <w:spacing w:after="0" w:line="96" w:lineRule="exact"/>
        <w:rPr>
          <w:sz w:val="20"/>
          <w:szCs w:val="20"/>
          <w:color w:val="auto"/>
        </w:rPr>
      </w:pPr>
    </w:p>
    <w:p>
      <w:pPr>
        <w:ind w:right="560" w:firstLine="600"/>
        <w:spacing w:after="0" w:line="259" w:lineRule="auto"/>
        <w:rPr>
          <w:sz w:val="20"/>
          <w:szCs w:val="20"/>
          <w:color w:val="auto"/>
        </w:rPr>
      </w:pPr>
      <w:r>
        <w:rPr>
          <w:rFonts w:ascii="Times New Roman" w:cs="Times New Roman" w:eastAsia="Times New Roman" w:hAnsi="Times New Roman"/>
          <w:sz w:val="16"/>
          <w:szCs w:val="16"/>
          <w:color w:val="auto"/>
        </w:rPr>
        <w:t>The following table summarizes information about our term FHLB advances, repurchase agreements and other borrowings outstanding for the periods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0"/>
        </w:trPr>
        <w:tc>
          <w:tcPr>
            <w:tcW w:w="3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Agreements</w:t>
            </w:r>
          </w:p>
        </w:tc>
        <w:tc>
          <w:tcPr>
            <w:tcW w:w="360" w:type="dxa"/>
            <w:vAlign w:val="bottom"/>
          </w:tcPr>
          <w:p>
            <w:pPr>
              <w:spacing w:after="0"/>
              <w:rPr>
                <w:sz w:val="15"/>
                <w:szCs w:val="15"/>
                <w:color w:val="auto"/>
              </w:rPr>
            </w:pPr>
          </w:p>
        </w:tc>
        <w:tc>
          <w:tcPr>
            <w:tcW w:w="1320" w:type="dxa"/>
            <w:vAlign w:val="bottom"/>
          </w:tcPr>
          <w:p>
            <w:pPr>
              <w:jc w:val="right"/>
              <w:ind w:right="622"/>
              <w:spacing w:after="0" w:line="180" w:lineRule="exact"/>
              <w:rPr>
                <w:sz w:val="20"/>
                <w:szCs w:val="20"/>
                <w:color w:val="auto"/>
              </w:rPr>
            </w:pPr>
            <w:r>
              <w:rPr>
                <w:rFonts w:ascii="Times New Roman" w:cs="Times New Roman" w:eastAsia="Times New Roman" w:hAnsi="Times New Roman"/>
                <w:sz w:val="16"/>
                <w:szCs w:val="16"/>
                <w:b w:val="1"/>
                <w:bCs w:val="1"/>
                <w:color w:val="auto"/>
              </w:rPr>
              <w:t>FHLB</w:t>
            </w:r>
          </w:p>
        </w:tc>
        <w:tc>
          <w:tcPr>
            <w:tcW w:w="360" w:type="dxa"/>
            <w:vAlign w:val="bottom"/>
          </w:tcPr>
          <w:p>
            <w:pPr>
              <w:spacing w:after="0"/>
              <w:rPr>
                <w:sz w:val="15"/>
                <w:szCs w:val="15"/>
                <w:color w:val="auto"/>
              </w:rPr>
            </w:pPr>
          </w:p>
        </w:tc>
        <w:tc>
          <w:tcPr>
            <w:tcW w:w="1320" w:type="dxa"/>
            <w:vAlign w:val="bottom"/>
          </w:tcPr>
          <w:p>
            <w:pPr>
              <w:jc w:val="right"/>
              <w:ind w:right="642"/>
              <w:spacing w:after="0" w:line="180" w:lineRule="exact"/>
              <w:rPr>
                <w:sz w:val="20"/>
                <w:szCs w:val="20"/>
                <w:color w:val="auto"/>
              </w:rPr>
            </w:pPr>
            <w:r>
              <w:rPr>
                <w:rFonts w:ascii="Times New Roman" w:cs="Times New Roman" w:eastAsia="Times New Roman" w:hAnsi="Times New Roman"/>
                <w:sz w:val="16"/>
                <w:szCs w:val="16"/>
                <w:b w:val="1"/>
                <w:bCs w:val="1"/>
                <w:color w:val="auto"/>
              </w:rPr>
              <w:t>BTFP</w:t>
            </w:r>
          </w:p>
        </w:tc>
        <w:tc>
          <w:tcPr>
            <w:tcW w:w="360" w:type="dxa"/>
            <w:vAlign w:val="bottom"/>
          </w:tcPr>
          <w:p>
            <w:pPr>
              <w:spacing w:after="0"/>
              <w:rPr>
                <w:sz w:val="15"/>
                <w:szCs w:val="15"/>
                <w:color w:val="auto"/>
              </w:rPr>
            </w:pPr>
          </w:p>
        </w:tc>
        <w:tc>
          <w:tcPr>
            <w:tcW w:w="1220" w:type="dxa"/>
            <w:vAlign w:val="bottom"/>
          </w:tcPr>
          <w:p>
            <w:pPr>
              <w:jc w:val="right"/>
              <w:ind w:right="562"/>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95"/>
        </w:trPr>
        <w:tc>
          <w:tcPr>
            <w:tcW w:w="3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3"/>
          </w:tcPr>
          <w:p>
            <w:pPr>
              <w:jc w:val="right"/>
              <w:ind w:right="98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0"/>
        </w:trPr>
        <w:tc>
          <w:tcPr>
            <w:tcW w:w="3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At December 31, 2024</w:t>
            </w:r>
          </w:p>
        </w:tc>
        <w:tc>
          <w:tcPr>
            <w:tcW w:w="10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180"/>
        </w:trPr>
        <w:tc>
          <w:tcPr>
            <w:tcW w:w="31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Amount outstanding</w:t>
            </w: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261,887</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761,887</w:t>
            </w:r>
          </w:p>
        </w:tc>
      </w:tr>
      <w:tr>
        <w:trPr>
          <w:trHeight w:val="180"/>
        </w:trPr>
        <w:tc>
          <w:tcPr>
            <w:tcW w:w="31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Weighted-average interest rate</w:t>
            </w:r>
          </w:p>
        </w:tc>
        <w:tc>
          <w:tcPr>
            <w:tcW w:w="10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0.72%</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4.55%</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3.23%</w:t>
            </w:r>
          </w:p>
        </w:tc>
      </w:tr>
      <w:tr>
        <w:trPr>
          <w:trHeight w:val="180"/>
        </w:trPr>
        <w:tc>
          <w:tcPr>
            <w:tcW w:w="3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1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Highest amount at month-end</w:t>
            </w: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461,761</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1,995,000</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2,956,761</w:t>
            </w:r>
          </w:p>
        </w:tc>
      </w:tr>
      <w:tr>
        <w:trPr>
          <w:trHeight w:val="180"/>
        </w:trPr>
        <w:tc>
          <w:tcPr>
            <w:tcW w:w="31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Daily-average amount outstanding</w:t>
            </w: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354,432</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326,503</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1,187,856</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1,868,791</w:t>
            </w:r>
          </w:p>
        </w:tc>
      </w:tr>
      <w:tr>
        <w:trPr>
          <w:trHeight w:val="180"/>
        </w:trPr>
        <w:tc>
          <w:tcPr>
            <w:tcW w:w="31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Weighted-average interest rate</w:t>
            </w:r>
          </w:p>
        </w:tc>
        <w:tc>
          <w:tcPr>
            <w:tcW w:w="10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1.33%</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4.62%</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4.79%</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4.10%</w:t>
            </w:r>
          </w:p>
        </w:tc>
      </w:tr>
      <w:tr>
        <w:trPr>
          <w:trHeight w:val="180"/>
        </w:trPr>
        <w:tc>
          <w:tcPr>
            <w:tcW w:w="3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At December 31, 2023</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1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Amount outstanding</w:t>
            </w: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271,642</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160,000</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1,910,000</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2,341,642</w:t>
            </w:r>
          </w:p>
        </w:tc>
      </w:tr>
      <w:tr>
        <w:trPr>
          <w:trHeight w:val="180"/>
        </w:trPr>
        <w:tc>
          <w:tcPr>
            <w:tcW w:w="31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Weighted-average interest rate</w:t>
            </w:r>
          </w:p>
        </w:tc>
        <w:tc>
          <w:tcPr>
            <w:tcW w:w="10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0.29%</w:t>
            </w:r>
          </w:p>
        </w:tc>
        <w:tc>
          <w:tcPr>
            <w:tcW w:w="360" w:type="dxa"/>
            <w:vAlign w:val="bottom"/>
          </w:tcPr>
          <w:p>
            <w:pPr>
              <w:spacing w:after="0"/>
              <w:rPr>
                <w:sz w:val="15"/>
                <w:szCs w:val="15"/>
                <w:color w:val="auto"/>
              </w:rPr>
            </w:pP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5.70%</w:t>
            </w:r>
          </w:p>
        </w:tc>
        <w:tc>
          <w:tcPr>
            <w:tcW w:w="360" w:type="dxa"/>
            <w:vAlign w:val="bottom"/>
          </w:tcPr>
          <w:p>
            <w:pPr>
              <w:spacing w:after="0"/>
              <w:rPr>
                <w:sz w:val="15"/>
                <w:szCs w:val="15"/>
                <w:color w:val="auto"/>
              </w:rPr>
            </w:pP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4.78%</w:t>
            </w:r>
          </w:p>
        </w:tc>
        <w:tc>
          <w:tcPr>
            <w:tcW w:w="36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4.32%</w:t>
            </w:r>
          </w:p>
        </w:tc>
      </w:tr>
      <w:tr>
        <w:trPr>
          <w:trHeight w:val="180"/>
        </w:trPr>
        <w:tc>
          <w:tcPr>
            <w:tcW w:w="3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0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180"/>
        </w:trPr>
        <w:tc>
          <w:tcPr>
            <w:tcW w:w="31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Highest amount at month-end</w:t>
            </w: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525,585</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1,405,000</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1,910,000</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3,840,585</w:t>
            </w:r>
          </w:p>
        </w:tc>
      </w:tr>
      <w:tr>
        <w:trPr>
          <w:trHeight w:val="180"/>
        </w:trPr>
        <w:tc>
          <w:tcPr>
            <w:tcW w:w="31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Daily-average amount outstanding</w:t>
            </w: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421,112</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665,488</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686,611</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1,773,211</w:t>
            </w:r>
          </w:p>
        </w:tc>
      </w:tr>
      <w:tr>
        <w:trPr>
          <w:trHeight w:val="180"/>
        </w:trPr>
        <w:tc>
          <w:tcPr>
            <w:tcW w:w="31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Weighted-average interest rate</w:t>
            </w:r>
          </w:p>
        </w:tc>
        <w:tc>
          <w:tcPr>
            <w:tcW w:w="10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0.21%</w:t>
            </w:r>
          </w:p>
        </w:tc>
        <w:tc>
          <w:tcPr>
            <w:tcW w:w="360" w:type="dxa"/>
            <w:vAlign w:val="bottom"/>
          </w:tcPr>
          <w:p>
            <w:pPr>
              <w:spacing w:after="0"/>
              <w:rPr>
                <w:sz w:val="15"/>
                <w:szCs w:val="15"/>
                <w:color w:val="auto"/>
              </w:rPr>
            </w:pP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5.11%</w:t>
            </w:r>
          </w:p>
        </w:tc>
        <w:tc>
          <w:tcPr>
            <w:tcW w:w="360" w:type="dxa"/>
            <w:vAlign w:val="bottom"/>
          </w:tcPr>
          <w:p>
            <w:pPr>
              <w:spacing w:after="0"/>
              <w:rPr>
                <w:sz w:val="15"/>
                <w:szCs w:val="15"/>
                <w:color w:val="auto"/>
              </w:rPr>
            </w:pP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4.65%</w:t>
            </w:r>
          </w:p>
        </w:tc>
        <w:tc>
          <w:tcPr>
            <w:tcW w:w="36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3.77%</w:t>
            </w:r>
          </w:p>
        </w:tc>
      </w:tr>
      <w:tr>
        <w:trPr>
          <w:trHeight w:val="180"/>
        </w:trPr>
        <w:tc>
          <w:tcPr>
            <w:tcW w:w="3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At December 31, 2022</w:t>
            </w:r>
          </w:p>
        </w:tc>
        <w:tc>
          <w:tcPr>
            <w:tcW w:w="10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180"/>
        </w:trPr>
        <w:tc>
          <w:tcPr>
            <w:tcW w:w="31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Amount outstanding</w:t>
            </w: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565,431</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995,000</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1,560,431</w:t>
            </w:r>
          </w:p>
        </w:tc>
      </w:tr>
      <w:tr>
        <w:trPr>
          <w:trHeight w:val="180"/>
        </w:trPr>
        <w:tc>
          <w:tcPr>
            <w:tcW w:w="31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Weighted-average interest rate</w:t>
            </w:r>
          </w:p>
        </w:tc>
        <w:tc>
          <w:tcPr>
            <w:tcW w:w="10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0.11%</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4.65%</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3.01%</w:t>
            </w:r>
          </w:p>
        </w:tc>
      </w:tr>
      <w:tr>
        <w:trPr>
          <w:trHeight w:val="180"/>
        </w:trPr>
        <w:tc>
          <w:tcPr>
            <w:tcW w:w="3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1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Highest amount at month-end</w:t>
            </w: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650,358</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995,000</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1,645,358</w:t>
            </w:r>
          </w:p>
        </w:tc>
      </w:tr>
      <w:tr>
        <w:trPr>
          <w:trHeight w:val="180"/>
        </w:trPr>
        <w:tc>
          <w:tcPr>
            <w:tcW w:w="31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Daily-average amount outstanding</w:t>
            </w: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573,307</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40,655</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613,962</w:t>
            </w:r>
          </w:p>
        </w:tc>
      </w:tr>
      <w:tr>
        <w:trPr>
          <w:trHeight w:val="180"/>
        </w:trPr>
        <w:tc>
          <w:tcPr>
            <w:tcW w:w="31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Weighted-average interest rate</w:t>
            </w:r>
          </w:p>
        </w:tc>
        <w:tc>
          <w:tcPr>
            <w:tcW w:w="10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0.09%</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4.48%</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0.38%</w:t>
            </w:r>
          </w:p>
        </w:tc>
      </w:tr>
    </w:tbl>
    <w:p>
      <w:pPr>
        <w:spacing w:after="0" w:line="167" w:lineRule="exact"/>
        <w:rPr>
          <w:sz w:val="20"/>
          <w:szCs w:val="20"/>
          <w:color w:val="auto"/>
        </w:rPr>
      </w:pPr>
    </w:p>
    <w:p>
      <w:pPr>
        <w:ind w:right="120" w:firstLine="600"/>
        <w:spacing w:after="0" w:line="241" w:lineRule="auto"/>
        <w:rPr>
          <w:sz w:val="20"/>
          <w:szCs w:val="20"/>
          <w:color w:val="auto"/>
        </w:rPr>
      </w:pPr>
      <w:r>
        <w:rPr>
          <w:rFonts w:ascii="Times New Roman" w:cs="Times New Roman" w:eastAsia="Times New Roman" w:hAnsi="Times New Roman"/>
          <w:sz w:val="16"/>
          <w:szCs w:val="16"/>
          <w:color w:val="auto"/>
        </w:rPr>
        <w:t xml:space="preserve">At December 31, 2024, our borrowings were $761.9 million and included $ 261.9 million of repurchase agreements and $500.0 million in FHLB advances, at an average cost of approximately 4.6%. At December 31, 2023, our borrowings were $ 2.34 billion and included $271.6 million in repurchase agreements, $2.07 billion in borrowings including $1.91 billion of one-year advances from the Federal Reserve's BTFP at an average cost of 4.78% and $160 million of short-term FHLB advances, at an average cost of approximately 5.70%. Refer to Note 11 — </w:t>
      </w:r>
      <w:r>
        <w:rPr>
          <w:rFonts w:ascii="Times New Roman" w:cs="Times New Roman" w:eastAsia="Times New Roman" w:hAnsi="Times New Roman"/>
          <w:sz w:val="16"/>
          <w:szCs w:val="16"/>
          <w:i w:val="1"/>
          <w:iCs w:val="1"/>
          <w:color w:val="auto"/>
        </w:rPr>
        <w:t>Borrowings</w:t>
      </w:r>
      <w:r>
        <w:rPr>
          <w:rFonts w:ascii="Times New Roman" w:cs="Times New Roman" w:eastAsia="Times New Roman" w:hAnsi="Times New Roman"/>
          <w:sz w:val="16"/>
          <w:szCs w:val="16"/>
          <w:color w:val="auto"/>
        </w:rPr>
        <w:t xml:space="preserve"> of the notes to the consolidated financial statements for a more detailed discussion.</w:t>
      </w:r>
    </w:p>
    <w:p>
      <w:pPr>
        <w:spacing w:after="0" w:line="133" w:lineRule="exact"/>
        <w:rPr>
          <w:sz w:val="20"/>
          <w:szCs w:val="20"/>
          <w:color w:val="auto"/>
        </w:rPr>
      </w:pPr>
    </w:p>
    <w:p>
      <w:pPr>
        <w:ind w:right="20" w:firstLine="588"/>
        <w:spacing w:after="0" w:line="241" w:lineRule="auto"/>
        <w:rPr>
          <w:sz w:val="20"/>
          <w:szCs w:val="20"/>
          <w:color w:val="auto"/>
        </w:rPr>
      </w:pPr>
      <w:r>
        <w:rPr>
          <w:rFonts w:ascii="Times New Roman" w:cs="Times New Roman" w:eastAsia="Times New Roman" w:hAnsi="Times New Roman"/>
          <w:sz w:val="16"/>
          <w:szCs w:val="16"/>
          <w:color w:val="auto"/>
        </w:rPr>
        <w:t>We offer a repurchase agreement product to our deposit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December 31, 2024, total funds borrowed under these agreements were $261.9 million with a weighted average interest rate of 0.72%, compared to $271.6 million with a weighted average interest rate of 0.29% as of December 31, 2023.</w:t>
      </w:r>
    </w:p>
    <w:p>
      <w:pPr>
        <w:spacing w:after="0" w:line="133" w:lineRule="exact"/>
        <w:rPr>
          <w:sz w:val="20"/>
          <w:szCs w:val="20"/>
          <w:color w:val="auto"/>
        </w:rPr>
      </w:pPr>
    </w:p>
    <w:p>
      <w:pPr>
        <w:ind w:right="260" w:firstLine="588"/>
        <w:spacing w:after="0" w:line="259" w:lineRule="auto"/>
        <w:rPr>
          <w:sz w:val="20"/>
          <w:szCs w:val="20"/>
          <w:color w:val="auto"/>
        </w:rPr>
      </w:pPr>
      <w:r>
        <w:rPr>
          <w:rFonts w:ascii="Times New Roman" w:cs="Times New Roman" w:eastAsia="Times New Roman" w:hAnsi="Times New Roman"/>
          <w:sz w:val="16"/>
          <w:szCs w:val="16"/>
          <w:color w:val="auto"/>
        </w:rPr>
        <w:t>At December 31, 2024, loans with a carrying value of $4.44 billion were pledged to secure available lines of credit from the FHLB and the Federal Reserve Bank. As of December 31, 2024, the Bank had unused borrowing capacity at the FHLB of $4.17 billion.</w:t>
      </w:r>
    </w:p>
    <w:p>
      <w:pPr>
        <w:spacing w:after="0" w:line="119" w:lineRule="exact"/>
        <w:rPr>
          <w:sz w:val="20"/>
          <w:szCs w:val="20"/>
          <w:color w:val="auto"/>
        </w:rPr>
      </w:pPr>
    </w:p>
    <w:p>
      <w:pPr>
        <w:jc w:val="both"/>
        <w:ind w:right="100" w:firstLine="588"/>
        <w:spacing w:after="0" w:line="247" w:lineRule="auto"/>
        <w:rPr>
          <w:sz w:val="20"/>
          <w:szCs w:val="20"/>
          <w:color w:val="auto"/>
        </w:rPr>
      </w:pPr>
      <w:r>
        <w:rPr>
          <w:rFonts w:ascii="Times New Roman" w:cs="Times New Roman" w:eastAsia="Times New Roman" w:hAnsi="Times New Roman"/>
          <w:sz w:val="16"/>
          <w:szCs w:val="16"/>
          <w:color w:val="auto"/>
        </w:rPr>
        <w:t>At December 31, 2024, investment securities with carrying values of $ 2.79 billion were pledged to secure various types of deposits, including $1.18 billion of public funds, $315 million for repurchase agreements, and for other purposes as required or permitted by law. In addition, investment securities with carrying values of $1.63 billion were pledged for unused borrowing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67" w:name="page68"/>
    <w:bookmarkEnd w:id="67"/>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Aggregate Contractual Obligations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gridSpan w:val="8"/>
          </w:tcPr>
          <w:p>
            <w:pPr>
              <w:jc w:val="center"/>
              <w:ind w:left="502"/>
              <w:spacing w:after="0"/>
              <w:rPr>
                <w:sz w:val="20"/>
                <w:szCs w:val="20"/>
                <w:color w:val="auto"/>
              </w:rPr>
            </w:pPr>
            <w:r>
              <w:rPr>
                <w:rFonts w:ascii="Times New Roman" w:cs="Times New Roman" w:eastAsia="Times New Roman" w:hAnsi="Times New Roman"/>
                <w:sz w:val="16"/>
                <w:szCs w:val="16"/>
                <w:color w:val="auto"/>
                <w:w w:val="97"/>
              </w:rPr>
              <w:t>The following table summarizes the aggregate contractual obligations as of December 31, 2024.</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59"/>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Less Than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9"/>
              </w:rPr>
              <w:t>One Year</w:t>
            </w:r>
          </w:p>
        </w:tc>
        <w:tc>
          <w:tcPr>
            <w:tcW w:w="160" w:type="dxa"/>
            <w:vAlign w:val="bottom"/>
          </w:tcPr>
          <w:p>
            <w:pPr>
              <w:spacing w:after="0"/>
              <w:rPr>
                <w:sz w:val="15"/>
                <w:szCs w:val="15"/>
                <w:color w:val="auto"/>
              </w:rPr>
            </w:pPr>
          </w:p>
        </w:tc>
        <w:tc>
          <w:tcPr>
            <w:tcW w:w="126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Four Years</w:t>
            </w:r>
          </w:p>
        </w:tc>
        <w:tc>
          <w:tcPr>
            <w:tcW w:w="240" w:type="dxa"/>
            <w:vAlign w:val="bottom"/>
          </w:tcPr>
          <w:p>
            <w:pPr>
              <w:spacing w:after="0"/>
              <w:rPr>
                <w:sz w:val="15"/>
                <w:szCs w:val="15"/>
                <w:color w:val="auto"/>
              </w:rPr>
            </w:pPr>
          </w:p>
        </w:tc>
        <w:tc>
          <w:tcPr>
            <w:tcW w:w="102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Over</w:t>
            </w:r>
          </w:p>
        </w:tc>
      </w:tr>
      <w:tr>
        <w:trPr>
          <w:trHeight w:val="180"/>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One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5"/>
              </w:rPr>
              <w:t>Through</w:t>
            </w:r>
          </w:p>
        </w:tc>
        <w:tc>
          <w:tcPr>
            <w:tcW w:w="160" w:type="dxa"/>
            <w:vAlign w:val="bottom"/>
          </w:tcPr>
          <w:p>
            <w:pPr>
              <w:spacing w:after="0"/>
              <w:rPr>
                <w:sz w:val="15"/>
                <w:szCs w:val="15"/>
                <w:color w:val="auto"/>
              </w:rPr>
            </w:pPr>
          </w:p>
        </w:tc>
        <w:tc>
          <w:tcPr>
            <w:tcW w:w="126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Through</w:t>
            </w:r>
          </w:p>
        </w:tc>
        <w:tc>
          <w:tcPr>
            <w:tcW w:w="240" w:type="dxa"/>
            <w:vAlign w:val="bottom"/>
          </w:tcPr>
          <w:p>
            <w:pPr>
              <w:spacing w:after="0"/>
              <w:rPr>
                <w:sz w:val="15"/>
                <w:szCs w:val="15"/>
                <w:color w:val="auto"/>
              </w:rPr>
            </w:pPr>
          </w:p>
        </w:tc>
        <w:tc>
          <w:tcPr>
            <w:tcW w:w="102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rPr>
              <w:t>Five</w:t>
            </w:r>
          </w:p>
        </w:tc>
      </w:tr>
      <w:tr>
        <w:trPr>
          <w:trHeight w:val="180"/>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68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5"/>
                <w:szCs w:val="15"/>
                <w:color w:val="auto"/>
              </w:rPr>
            </w:pPr>
          </w:p>
        </w:tc>
        <w:tc>
          <w:tcPr>
            <w:tcW w:w="108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4"/>
              </w:rPr>
              <w:t>Year</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Three Years</w:t>
            </w:r>
          </w:p>
        </w:tc>
        <w:tc>
          <w:tcPr>
            <w:tcW w:w="160" w:type="dxa"/>
            <w:vAlign w:val="bottom"/>
          </w:tcPr>
          <w:p>
            <w:pPr>
              <w:spacing w:after="0"/>
              <w:rPr>
                <w:sz w:val="15"/>
                <w:szCs w:val="15"/>
                <w:color w:val="auto"/>
              </w:rPr>
            </w:pPr>
          </w:p>
        </w:tc>
        <w:tc>
          <w:tcPr>
            <w:tcW w:w="126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Five Years</w:t>
            </w:r>
          </w:p>
        </w:tc>
        <w:tc>
          <w:tcPr>
            <w:tcW w:w="240" w:type="dxa"/>
            <w:vAlign w:val="bottom"/>
          </w:tcPr>
          <w:p>
            <w:pPr>
              <w:spacing w:after="0"/>
              <w:rPr>
                <w:sz w:val="15"/>
                <w:szCs w:val="15"/>
                <w:color w:val="auto"/>
              </w:rPr>
            </w:pPr>
          </w:p>
        </w:tc>
        <w:tc>
          <w:tcPr>
            <w:tcW w:w="102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195"/>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w w:val="99"/>
              </w:rPr>
              <w:t>(Dollars 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3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Deposits (1)</w:t>
            </w:r>
          </w:p>
        </w:tc>
        <w:tc>
          <w:tcPr>
            <w:tcW w:w="260" w:type="dxa"/>
            <w:vAlign w:val="bottom"/>
            <w:shd w:val="clear" w:color="auto" w:fill="CFF0FC"/>
          </w:tcPr>
          <w:p>
            <w:pPr>
              <w:jc w:val="center"/>
              <w:ind w:right="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11,948,381</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FF0FC"/>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11,937,063</w:t>
            </w:r>
          </w:p>
        </w:tc>
        <w:tc>
          <w:tcPr>
            <w:tcW w:w="36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9,792</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1,243</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FF0FC"/>
          </w:tcPr>
          <w:p>
            <w:pPr>
              <w:spacing w:after="0"/>
              <w:rPr>
                <w:sz w:val="15"/>
                <w:szCs w:val="15"/>
                <w:color w:val="auto"/>
              </w:rPr>
            </w:pPr>
          </w:p>
        </w:tc>
      </w:tr>
      <w:tr>
        <w:trPr>
          <w:trHeight w:val="180"/>
        </w:trPr>
        <w:tc>
          <w:tcPr>
            <w:tcW w:w="3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Customer repurchase agreements (1)</w:t>
            </w:r>
          </w:p>
        </w:tc>
        <w:tc>
          <w:tcPr>
            <w:tcW w:w="260" w:type="dxa"/>
            <w:vAlign w:val="bottom"/>
          </w:tcPr>
          <w:p>
            <w:pPr>
              <w:spacing w:after="0"/>
              <w:rPr>
                <w:sz w:val="15"/>
                <w:szCs w:val="15"/>
                <w:color w:val="auto"/>
              </w:rPr>
            </w:pPr>
          </w:p>
        </w:tc>
        <w:tc>
          <w:tcPr>
            <w:tcW w:w="12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261,887</w:t>
            </w: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261,887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borrowings</w:t>
            </w: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18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compensation</w:t>
            </w:r>
          </w:p>
        </w:tc>
        <w:tc>
          <w:tcPr>
            <w:tcW w:w="2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22,909</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575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1,152</w:t>
            </w:r>
          </w:p>
        </w:tc>
        <w:tc>
          <w:tcPr>
            <w:tcW w:w="160" w:type="dxa"/>
            <w:vAlign w:val="bottom"/>
          </w:tcPr>
          <w:p>
            <w:pPr>
              <w:spacing w:after="0"/>
              <w:rPr>
                <w:sz w:val="15"/>
                <w:szCs w:val="15"/>
                <w:color w:val="auto"/>
              </w:rPr>
            </w:pPr>
          </w:p>
        </w:tc>
        <w:tc>
          <w:tcPr>
            <w:tcW w:w="12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1,150</w:t>
            </w:r>
          </w:p>
        </w:tc>
        <w:tc>
          <w:tcPr>
            <w:tcW w:w="24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20,032</w:t>
            </w:r>
          </w:p>
        </w:tc>
        <w:tc>
          <w:tcPr>
            <w:tcW w:w="80" w:type="dxa"/>
            <w:vAlign w:val="bottom"/>
          </w:tcPr>
          <w:p>
            <w:pPr>
              <w:spacing w:after="0"/>
              <w:rPr>
                <w:sz w:val="15"/>
                <w:szCs w:val="15"/>
                <w:color w:val="auto"/>
              </w:rPr>
            </w:pPr>
          </w:p>
        </w:tc>
      </w:tr>
      <w:tr>
        <w:trPr>
          <w:trHeight w:val="180"/>
        </w:trPr>
        <w:tc>
          <w:tcPr>
            <w:tcW w:w="3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Operating leases</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69,640</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10,114</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16,759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10,097</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32,670</w:t>
            </w:r>
          </w:p>
        </w:tc>
        <w:tc>
          <w:tcPr>
            <w:tcW w:w="80" w:type="dxa"/>
            <w:vAlign w:val="bottom"/>
            <w:shd w:val="clear" w:color="auto" w:fill="CFF0FC"/>
          </w:tcPr>
          <w:p>
            <w:pPr>
              <w:spacing w:after="0"/>
              <w:rPr>
                <w:sz w:val="15"/>
                <w:szCs w:val="15"/>
                <w:color w:val="auto"/>
              </w:rPr>
            </w:pPr>
          </w:p>
        </w:tc>
      </w:tr>
      <w:tr>
        <w:trPr>
          <w:trHeight w:val="180"/>
        </w:trPr>
        <w:tc>
          <w:tcPr>
            <w:tcW w:w="3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investments</w:t>
            </w:r>
          </w:p>
        </w:tc>
        <w:tc>
          <w:tcPr>
            <w:tcW w:w="2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45,809</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36,932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7,382</w:t>
            </w:r>
          </w:p>
        </w:tc>
        <w:tc>
          <w:tcPr>
            <w:tcW w:w="1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1,104</w:t>
            </w:r>
          </w:p>
        </w:tc>
      </w:tr>
      <w:tr>
        <w:trPr>
          <w:trHeight w:val="200"/>
        </w:trPr>
        <w:tc>
          <w:tcPr>
            <w:tcW w:w="35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60" w:type="dxa"/>
            <w:vAlign w:val="bottom"/>
            <w:shd w:val="clear" w:color="auto" w:fill="CFF0FC"/>
          </w:tcPr>
          <w:p>
            <w:pPr>
              <w:jc w:val="center"/>
              <w:ind w:right="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12,848,626</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FF0FC"/>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12,246,571</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535,085</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12,881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54,089</w:t>
            </w:r>
          </w:p>
        </w:tc>
        <w:tc>
          <w:tcPr>
            <w:tcW w:w="80" w:type="dxa"/>
            <w:vAlign w:val="bottom"/>
            <w:shd w:val="clear" w:color="auto" w:fill="CFF0FC"/>
          </w:tcPr>
          <w:p>
            <w:pPr>
              <w:spacing w:after="0"/>
              <w:rPr>
                <w:sz w:val="17"/>
                <w:szCs w:val="17"/>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(1)Amounts exclude accrued interest.</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Deposits represent noninterest-bearing, money market, savings, NOW, certificates of deposits, brokered and all other deposits held by the Bank.</w:t>
      </w:r>
    </w:p>
    <w:p>
      <w:pPr>
        <w:spacing w:after="0" w:line="152" w:lineRule="exact"/>
        <w:rPr>
          <w:sz w:val="20"/>
          <w:szCs w:val="20"/>
          <w:color w:val="auto"/>
        </w:rPr>
      </w:pPr>
    </w:p>
    <w:p>
      <w:pPr>
        <w:ind w:right="180" w:firstLine="588"/>
        <w:spacing w:after="0" w:line="259" w:lineRule="auto"/>
        <w:rPr>
          <w:sz w:val="20"/>
          <w:szCs w:val="20"/>
          <w:color w:val="auto"/>
        </w:rPr>
      </w:pPr>
      <w:r>
        <w:rPr>
          <w:rFonts w:ascii="Times New Roman" w:cs="Times New Roman" w:eastAsia="Times New Roman" w:hAnsi="Times New Roman"/>
          <w:sz w:val="16"/>
          <w:szCs w:val="16"/>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Other borrowings represent amounts due for FHLB advances based on their contractual maturity dates.</w:t>
      </w:r>
    </w:p>
    <w:p>
      <w:pPr>
        <w:spacing w:after="0" w:line="152" w:lineRule="exact"/>
        <w:rPr>
          <w:sz w:val="20"/>
          <w:szCs w:val="20"/>
          <w:color w:val="auto"/>
        </w:rPr>
      </w:pPr>
    </w:p>
    <w:p>
      <w:pPr>
        <w:ind w:right="500" w:firstLine="588"/>
        <w:spacing w:after="0" w:line="259" w:lineRule="auto"/>
        <w:rPr>
          <w:sz w:val="20"/>
          <w:szCs w:val="20"/>
          <w:color w:val="auto"/>
        </w:rPr>
      </w:pPr>
      <w:r>
        <w:rPr>
          <w:rFonts w:ascii="Times New Roman" w:cs="Times New Roman" w:eastAsia="Times New Roman" w:hAnsi="Times New Roman"/>
          <w:sz w:val="16"/>
          <w:szCs w:val="16"/>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17" w:lineRule="exact"/>
        <w:rPr>
          <w:sz w:val="20"/>
          <w:szCs w:val="20"/>
          <w:color w:val="auto"/>
        </w:rPr>
      </w:pPr>
    </w:p>
    <w:p>
      <w:pPr>
        <w:ind w:right="520" w:firstLine="588"/>
        <w:spacing w:after="0" w:line="262" w:lineRule="auto"/>
        <w:rPr>
          <w:sz w:val="20"/>
          <w:szCs w:val="20"/>
          <w:color w:val="auto"/>
        </w:rPr>
      </w:pPr>
      <w:r>
        <w:rPr>
          <w:rFonts w:ascii="Times New Roman" w:cs="Times New Roman" w:eastAsia="Times New Roman" w:hAnsi="Times New Roman"/>
          <w:sz w:val="16"/>
          <w:szCs w:val="16"/>
          <w:color w:val="auto"/>
        </w:rPr>
        <w:t xml:space="preserve">Operating leases represent the total minimum lease payments due under non-cancelable operating leases. Refer to Note 21 —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of the notes to the consolidated financial statements for a more detailed discussion about leases.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Equity investments represent commitments to contribute capital to LIHTC and other CRA-related investment partnerships.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summarizes the off-balance sheet items at December 31, 2024.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Less Than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One Year</w:t>
            </w:r>
          </w:p>
        </w:tc>
        <w:tc>
          <w:tcPr>
            <w:tcW w:w="140" w:type="dxa"/>
            <w:vAlign w:val="bottom"/>
          </w:tcPr>
          <w:p>
            <w:pPr>
              <w:spacing w:after="0"/>
              <w:rPr>
                <w:sz w:val="15"/>
                <w:szCs w:val="15"/>
                <w:color w:val="auto"/>
              </w:rPr>
            </w:pPr>
          </w:p>
        </w:tc>
        <w:tc>
          <w:tcPr>
            <w:tcW w:w="122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Four Years</w:t>
            </w:r>
          </w:p>
        </w:tc>
        <w:tc>
          <w:tcPr>
            <w:tcW w:w="240" w:type="dxa"/>
            <w:vAlign w:val="bottom"/>
          </w:tcPr>
          <w:p>
            <w:pPr>
              <w:spacing w:after="0"/>
              <w:rPr>
                <w:sz w:val="15"/>
                <w:szCs w:val="15"/>
                <w:color w:val="auto"/>
              </w:rPr>
            </w:pPr>
          </w:p>
        </w:tc>
        <w:tc>
          <w:tcPr>
            <w:tcW w:w="9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One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to Three</w:t>
            </w:r>
          </w:p>
        </w:tc>
        <w:tc>
          <w:tcPr>
            <w:tcW w:w="140" w:type="dxa"/>
            <w:vAlign w:val="bottom"/>
          </w:tcPr>
          <w:p>
            <w:pPr>
              <w:spacing w:after="0"/>
              <w:rPr>
                <w:sz w:val="15"/>
                <w:szCs w:val="15"/>
                <w:color w:val="auto"/>
              </w:rPr>
            </w:pPr>
          </w:p>
        </w:tc>
        <w:tc>
          <w:tcPr>
            <w:tcW w:w="122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4"/>
              </w:rPr>
              <w:t>to Five</w:t>
            </w:r>
          </w:p>
        </w:tc>
        <w:tc>
          <w:tcPr>
            <w:tcW w:w="240" w:type="dxa"/>
            <w:vAlign w:val="bottom"/>
          </w:tcPr>
          <w:p>
            <w:pPr>
              <w:spacing w:after="0"/>
              <w:rPr>
                <w:sz w:val="15"/>
                <w:szCs w:val="15"/>
                <w:color w:val="auto"/>
              </w:rPr>
            </w:pPr>
          </w:p>
        </w:tc>
        <w:tc>
          <w:tcPr>
            <w:tcW w:w="98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Five</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6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5"/>
                <w:szCs w:val="15"/>
                <w:color w:val="auto"/>
              </w:rPr>
            </w:pPr>
          </w:p>
        </w:tc>
        <w:tc>
          <w:tcPr>
            <w:tcW w:w="98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4"/>
              </w:rPr>
              <w:t>Year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Years</w:t>
            </w:r>
          </w:p>
        </w:tc>
        <w:tc>
          <w:tcPr>
            <w:tcW w:w="140" w:type="dxa"/>
            <w:vAlign w:val="bottom"/>
          </w:tcPr>
          <w:p>
            <w:pPr>
              <w:spacing w:after="0"/>
              <w:rPr>
                <w:sz w:val="15"/>
                <w:szCs w:val="15"/>
                <w:color w:val="auto"/>
              </w:rPr>
            </w:pPr>
          </w:p>
        </w:tc>
        <w:tc>
          <w:tcPr>
            <w:tcW w:w="122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Years</w:t>
            </w:r>
          </w:p>
        </w:tc>
        <w:tc>
          <w:tcPr>
            <w:tcW w:w="240" w:type="dxa"/>
            <w:vAlign w:val="bottom"/>
          </w:tcPr>
          <w:p>
            <w:pPr>
              <w:spacing w:after="0"/>
              <w:rPr>
                <w:sz w:val="15"/>
                <w:szCs w:val="15"/>
                <w:color w:val="auto"/>
              </w:rPr>
            </w:pPr>
          </w:p>
        </w:tc>
        <w:tc>
          <w:tcPr>
            <w:tcW w:w="98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Years</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w w:val="99"/>
              </w:rPr>
              <w:t>(Dollars in thousands)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Commitment to extend credit: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393,384</w:t>
            </w: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84,724</w:t>
            </w:r>
          </w:p>
        </w:tc>
        <w:tc>
          <w:tcPr>
            <w:tcW w:w="40" w:type="dxa"/>
            <w:vAlign w:val="bottom"/>
          </w:tcPr>
          <w:p>
            <w:pPr>
              <w:spacing w:after="0"/>
              <w:rPr>
                <w:sz w:val="15"/>
                <w:szCs w:val="15"/>
                <w:color w:val="auto"/>
              </w:rPr>
            </w:pPr>
          </w:p>
        </w:tc>
        <w:tc>
          <w:tcPr>
            <w:tcW w:w="3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191,086</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91,106</w:t>
            </w:r>
          </w:p>
        </w:tc>
        <w:tc>
          <w:tcPr>
            <w:tcW w:w="220" w:type="dxa"/>
            <w:vAlign w:val="bottom"/>
          </w:tcPr>
          <w:p>
            <w:pPr>
              <w:spacing w:after="0"/>
              <w:rPr>
                <w:sz w:val="15"/>
                <w:szCs w:val="15"/>
                <w:color w:val="auto"/>
              </w:rPr>
            </w:pPr>
          </w:p>
        </w:tc>
        <w:tc>
          <w:tcPr>
            <w:tcW w:w="2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26,468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39,058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36,794</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2,264</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SBA</w:t>
            </w: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993,878</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823,834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135,214</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3,706</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31,124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 (1)</w:t>
            </w:r>
          </w:p>
        </w:tc>
        <w:tc>
          <w:tcPr>
            <w:tcW w:w="260" w:type="dxa"/>
            <w:vAlign w:val="bottom"/>
          </w:tcPr>
          <w:p>
            <w:pPr>
              <w:spacing w:after="0"/>
              <w:rPr>
                <w:sz w:val="15"/>
                <w:szCs w:val="15"/>
                <w:color w:val="auto"/>
              </w:rPr>
            </w:pPr>
          </w:p>
        </w:tc>
        <w:tc>
          <w:tcPr>
            <w:tcW w:w="116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172,978</w:t>
            </w:r>
          </w:p>
        </w:tc>
        <w:tc>
          <w:tcPr>
            <w:tcW w:w="200" w:type="dxa"/>
            <w:vAlign w:val="bottom"/>
          </w:tcPr>
          <w:p>
            <w:pPr>
              <w:spacing w:after="0"/>
              <w:rPr>
                <w:sz w:val="15"/>
                <w:szCs w:val="15"/>
                <w:color w:val="auto"/>
              </w:rPr>
            </w:pPr>
          </w:p>
        </w:tc>
        <w:tc>
          <w:tcPr>
            <w:tcW w:w="9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151,941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21,037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7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Municipal lease finance receivables</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SFR Mortgage</w:t>
            </w:r>
          </w:p>
        </w:tc>
        <w:tc>
          <w:tcPr>
            <w:tcW w:w="260" w:type="dxa"/>
            <w:vAlign w:val="bottom"/>
          </w:tcPr>
          <w:p>
            <w:pPr>
              <w:spacing w:after="0"/>
              <w:rPr>
                <w:sz w:val="15"/>
                <w:szCs w:val="15"/>
                <w:color w:val="auto"/>
              </w:rPr>
            </w:pPr>
          </w:p>
        </w:tc>
        <w:tc>
          <w:tcPr>
            <w:tcW w:w="116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1,437</w:t>
            </w:r>
          </w:p>
        </w:tc>
        <w:tc>
          <w:tcPr>
            <w:tcW w:w="200" w:type="dxa"/>
            <w:vAlign w:val="bottom"/>
          </w:tcPr>
          <w:p>
            <w:pPr>
              <w:spacing w:after="0"/>
              <w:rPr>
                <w:sz w:val="15"/>
                <w:szCs w:val="15"/>
                <w:color w:val="auto"/>
              </w:rPr>
            </w:pPr>
          </w:p>
        </w:tc>
        <w:tc>
          <w:tcPr>
            <w:tcW w:w="9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1,437</w:t>
            </w:r>
          </w:p>
        </w:tc>
        <w:tc>
          <w:tcPr>
            <w:tcW w:w="0" w:type="dxa"/>
            <w:vAlign w:val="bottom"/>
          </w:tcPr>
          <w:p>
            <w:pPr>
              <w:spacing w:after="0"/>
              <w:rPr>
                <w:sz w:val="1"/>
                <w:szCs w:val="1"/>
                <w:color w:val="auto"/>
              </w:rPr>
            </w:pPr>
          </w:p>
        </w:tc>
      </w:tr>
      <w:tr>
        <w:trPr>
          <w:trHeight w:val="180"/>
        </w:trPr>
        <w:tc>
          <w:tcPr>
            <w:tcW w:w="37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Consumer and other loans</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120,748</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9,075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9,948</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2,605</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99,120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commitment to extend credit</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1,722,412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1,106,368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359,549</w:t>
            </w:r>
          </w:p>
        </w:tc>
        <w:tc>
          <w:tcPr>
            <w:tcW w:w="1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97,417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159,078</w:t>
            </w:r>
          </w:p>
        </w:tc>
        <w:tc>
          <w:tcPr>
            <w:tcW w:w="0" w:type="dxa"/>
            <w:vAlign w:val="bottom"/>
          </w:tcPr>
          <w:p>
            <w:pPr>
              <w:spacing w:after="0"/>
              <w:rPr>
                <w:sz w:val="1"/>
                <w:szCs w:val="1"/>
                <w:color w:val="auto"/>
              </w:rPr>
            </w:pPr>
          </w:p>
        </w:tc>
      </w:tr>
      <w:tr>
        <w:trPr>
          <w:trHeight w:val="85"/>
        </w:trPr>
        <w:tc>
          <w:tcPr>
            <w:tcW w:w="3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7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Obligations under letters of credit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60,032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44,106</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15,708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1,782,444</w:t>
            </w:r>
          </w:p>
        </w:tc>
        <w:tc>
          <w:tcPr>
            <w:tcW w:w="260" w:type="dxa"/>
            <w:vAlign w:val="bottom"/>
          </w:tcPr>
          <w:p>
            <w:pPr>
              <w:spacing w:after="0"/>
              <w:rPr>
                <w:sz w:val="15"/>
                <w:szCs w:val="15"/>
                <w:color w:val="auto"/>
              </w:rPr>
            </w:pP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1,150,474</w:t>
            </w:r>
          </w:p>
        </w:tc>
        <w:tc>
          <w:tcPr>
            <w:tcW w:w="40" w:type="dxa"/>
            <w:vAlign w:val="bottom"/>
          </w:tcPr>
          <w:p>
            <w:pPr>
              <w:spacing w:after="0"/>
              <w:rPr>
                <w:sz w:val="15"/>
                <w:szCs w:val="15"/>
                <w:color w:val="auto"/>
              </w:rPr>
            </w:pPr>
          </w:p>
        </w:tc>
        <w:tc>
          <w:tcPr>
            <w:tcW w:w="3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375,257</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97,617</w:t>
            </w:r>
          </w:p>
        </w:tc>
        <w:tc>
          <w:tcPr>
            <w:tcW w:w="220" w:type="dxa"/>
            <w:vAlign w:val="bottom"/>
          </w:tcPr>
          <w:p>
            <w:pPr>
              <w:spacing w:after="0"/>
              <w:rPr>
                <w:sz w:val="15"/>
                <w:szCs w:val="15"/>
                <w:color w:val="auto"/>
              </w:rPr>
            </w:pPr>
          </w:p>
        </w:tc>
        <w:tc>
          <w:tcPr>
            <w:tcW w:w="2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159,096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67</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37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8" w:name="page69"/>
    <w:bookmarkEnd w:id="68"/>
    <w:p>
      <w:pPr>
        <w:spacing w:after="0" w:line="1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(1)Total commitments to extend credit to agribusiness were $15.6 million at December 31, 2024.</w:t>
      </w:r>
    </w:p>
    <w:p>
      <w:pPr>
        <w:spacing w:after="0" w:line="162" w:lineRule="exact"/>
        <w:rPr>
          <w:sz w:val="20"/>
          <w:szCs w:val="20"/>
          <w:color w:val="auto"/>
        </w:rPr>
      </w:pPr>
    </w:p>
    <w:p>
      <w:pPr>
        <w:ind w:right="100" w:firstLine="588"/>
        <w:spacing w:after="0" w:line="277" w:lineRule="auto"/>
        <w:rPr>
          <w:sz w:val="20"/>
          <w:szCs w:val="20"/>
          <w:color w:val="auto"/>
        </w:rPr>
      </w:pPr>
      <w:r>
        <w:rPr>
          <w:rFonts w:ascii="Times New Roman" w:cs="Times New Roman" w:eastAsia="Times New Roman" w:hAnsi="Times New Roman"/>
          <w:sz w:val="14"/>
          <w:szCs w:val="14"/>
          <w:color w:val="auto"/>
        </w:rPr>
        <w:t>As of December 31, 2024, we had commitments to extend credit of approximately $1.72 billion, and obligations under letters of credit of $60.0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 -balance sheet instruments, which consist of evaluating customers’ creditworthiness individually. As of December 31, 2024 and December 31, 2023, the balance in the reserve for unfunded loan commitments was $6.3 million and $7.5 million, respectively, and was included in other liabilities. There was $1.25 million of recapture of provision for unfunded loan commitments for the year ended December 31, 2024. There was $0.50 million of recapture of provision for unfunded loan commitments for the year ended December 31, 2023.</w:t>
      </w:r>
    </w:p>
    <w:p>
      <w:pPr>
        <w:spacing w:after="0" w:line="146" w:lineRule="exact"/>
        <w:rPr>
          <w:sz w:val="20"/>
          <w:szCs w:val="20"/>
          <w:color w:val="auto"/>
        </w:rPr>
      </w:pPr>
    </w:p>
    <w:p>
      <w:pPr>
        <w:ind w:right="60" w:firstLine="588"/>
        <w:spacing w:after="0" w:line="247" w:lineRule="auto"/>
        <w:rPr>
          <w:sz w:val="20"/>
          <w:szCs w:val="20"/>
          <w:color w:val="auto"/>
        </w:rPr>
      </w:pPr>
      <w:r>
        <w:rPr>
          <w:rFonts w:ascii="Times New Roman" w:cs="Times New Roman" w:eastAsia="Times New Roman" w:hAnsi="Times New Roman"/>
          <w:sz w:val="16"/>
          <w:szCs w:val="16"/>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Resources</w:t>
      </w:r>
    </w:p>
    <w:p>
      <w:pPr>
        <w:spacing w:after="0" w:line="156" w:lineRule="exact"/>
        <w:rPr>
          <w:sz w:val="20"/>
          <w:szCs w:val="20"/>
          <w:color w:val="auto"/>
        </w:rPr>
      </w:pPr>
    </w:p>
    <w:p>
      <w:pPr>
        <w:ind w:right="20" w:firstLine="588"/>
        <w:spacing w:after="0" w:line="247" w:lineRule="auto"/>
        <w:rPr>
          <w:sz w:val="20"/>
          <w:szCs w:val="20"/>
          <w:color w:val="auto"/>
        </w:rPr>
      </w:pPr>
      <w:r>
        <w:rPr>
          <w:rFonts w:ascii="Times New Roman" w:cs="Times New Roman" w:eastAsia="Times New Roman" w:hAnsi="Times New Roman"/>
          <w:sz w:val="16"/>
          <w:szCs w:val="16"/>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28" w:lineRule="exact"/>
        <w:rPr>
          <w:sz w:val="20"/>
          <w:szCs w:val="20"/>
          <w:color w:val="auto"/>
        </w:rPr>
      </w:pPr>
    </w:p>
    <w:p>
      <w:pPr>
        <w:ind w:right="80" w:firstLine="588"/>
        <w:spacing w:after="0" w:line="243" w:lineRule="auto"/>
        <w:rPr>
          <w:sz w:val="20"/>
          <w:szCs w:val="20"/>
          <w:color w:val="auto"/>
        </w:rPr>
      </w:pPr>
      <w:r>
        <w:rPr>
          <w:rFonts w:ascii="Times New Roman" w:cs="Times New Roman" w:eastAsia="Times New Roman" w:hAnsi="Times New Roman"/>
          <w:sz w:val="16"/>
          <w:szCs w:val="16"/>
          <w:color w:val="auto"/>
        </w:rPr>
        <w:t>Total equity increased $108.3 million, or 5.21%, to $2.19 billion at December 31, 2024, compared to total equity of $2.08 billion at December 31, 2023. Increases to equity included $200.7 million in net earnings and an $11.5 million increase in other comprehensive income, that were partially offset by $111.9 million in cash dividends. We did not repurchase any stock in 2024. In 2023, we repurchased 791,800 shares of common stock, at an average repurchase price of $23.43, totaling $18.5 million. Our tangible book value per share at December 31, 2024 was $10.10.</w:t>
      </w:r>
    </w:p>
    <w:p>
      <w:pPr>
        <w:spacing w:after="0" w:line="131"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During 2024, the Board of Directors of CVB declared quarterly cash dividends totaling $ 0.80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31" w:lineRule="exact"/>
        <w:rPr>
          <w:sz w:val="20"/>
          <w:szCs w:val="20"/>
          <w:color w:val="auto"/>
        </w:rPr>
      </w:pPr>
    </w:p>
    <w:p>
      <w:pPr>
        <w:jc w:val="both"/>
        <w:ind w:right="100" w:firstLine="588"/>
        <w:spacing w:after="0" w:line="277" w:lineRule="auto"/>
        <w:rPr>
          <w:sz w:val="20"/>
          <w:szCs w:val="20"/>
          <w:color w:val="auto"/>
        </w:rPr>
      </w:pPr>
      <w:r>
        <w:rPr>
          <w:rFonts w:ascii="Times New Roman" w:cs="Times New Roman" w:eastAsia="Times New Roman" w:hAnsi="Times New Roman"/>
          <w:sz w:val="14"/>
          <w:szCs w:val="14"/>
          <w:color w:val="auto"/>
        </w:rPr>
        <w:t>On November 20, 2024, our Board of Directors approved a program to repurchase up to 10,000,000 shares (the “Maximum Amount”) of CVB common stock including by means of one or more Rule 10b5-1 plans or other appropriate buy-back arrangements, including open market purchases and private transactions, at times and at prices considered appropriate by us, depending upon prevailing market conditions and other corporate and legal considerations (“2024 Repurchase Program”).</w:t>
      </w:r>
    </w:p>
    <w:p>
      <w:pPr>
        <w:spacing w:after="0" w:line="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4"/>
          <w:szCs w:val="14"/>
          <w:color w:val="auto"/>
        </w:rPr>
        <w:t>This 2024 Repurchase Program replaces in its entirety the Company's previous 2022 share repurchase program under which 4,300,059 shares remained available for repurchase and which has now been terminated. The 2024 Repurchase Program terminates on the earlier of the repurchase of the Maximum Amount or five years from the date of authorization. As of December 31, 2024, an aggregate of 10,000,000 shares remained available for repurchase under our 2024 Repurchase Program.</w:t>
      </w:r>
    </w:p>
    <w:p>
      <w:pPr>
        <w:spacing w:after="0" w:line="103"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 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December 31, 2024,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cs="Times New Roman" w:eastAsia="Times New Roman" w:hAnsi="Times New Roman"/>
          <w:sz w:val="16"/>
          <w:szCs w:val="16"/>
          <w:i w:val="1"/>
          <w:iCs w:val="1"/>
          <w:color w:val="auto"/>
        </w:rPr>
        <w:t>Business—Regulation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Supervision—Capital Adequacy Requirements</w:t>
      </w:r>
      <w:r>
        <w:rPr>
          <w:rFonts w:ascii="Times New Roman" w:cs="Times New Roman" w:eastAsia="Times New Roman" w:hAnsi="Times New Roman"/>
          <w:sz w:val="16"/>
          <w:szCs w:val="16"/>
          <w:color w:val="auto"/>
        </w:rPr>
        <w:t>”.</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9" w:name="page70"/>
    <w:bookmarkEnd w:id="69"/>
    <w:p>
      <w:pPr>
        <w:spacing w:after="0" w:line="137" w:lineRule="exact"/>
        <w:rPr>
          <w:sz w:val="20"/>
          <w:szCs w:val="20"/>
          <w:color w:val="auto"/>
        </w:rPr>
      </w:pPr>
    </w:p>
    <w:p>
      <w:pPr>
        <w:ind w:right="200" w:firstLine="588"/>
        <w:spacing w:after="0" w:line="259" w:lineRule="auto"/>
        <w:rPr>
          <w:sz w:val="20"/>
          <w:szCs w:val="20"/>
          <w:color w:val="auto"/>
        </w:rPr>
      </w:pPr>
      <w:r>
        <w:rPr>
          <w:rFonts w:ascii="Times New Roman" w:cs="Times New Roman" w:eastAsia="Times New Roman" w:hAnsi="Times New Roman"/>
          <w:sz w:val="16"/>
          <w:szCs w:val="16"/>
          <w:color w:val="auto"/>
        </w:rPr>
        <w:t>At December 31, 2024, the Bank and the Company exceeded the minimum risk-based capital ratios and leverage ratios, under the revised capital framework referred to as Basel III, required to be considered “well-capitalized” for regulatory purposes.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table below presents the Company’s and the Bank’s risk-based and leverage capital ratios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1080" w:type="dxa"/>
            <w:vAlign w:val="bottom"/>
          </w:tcPr>
          <w:p>
            <w:pPr>
              <w:spacing w:after="0"/>
              <w:rPr>
                <w:sz w:val="15"/>
                <w:szCs w:val="15"/>
                <w:color w:val="auto"/>
              </w:rPr>
            </w:pPr>
          </w:p>
        </w:tc>
        <w:tc>
          <w:tcPr>
            <w:tcW w:w="222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6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38"/>
        </w:trPr>
        <w:tc>
          <w:tcPr>
            <w:tcW w:w="2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Required</w:t>
            </w: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380" w:type="dxa"/>
            <w:vAlign w:val="bottom"/>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rPr>
              <w:t>Adequately</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Plus 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Well</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CVB Financial</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Citizens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CVB Financial</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Citizens</w:t>
            </w: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380" w:type="dxa"/>
            <w:vAlign w:val="bottom"/>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rPr>
              <w:t>Capitalized</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Conservation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Capitalized</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Corp.</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Corp.</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0" w:type="dxa"/>
            <w:vAlign w:val="bottom"/>
          </w:tcPr>
          <w:p>
            <w:pPr>
              <w:spacing w:after="0"/>
              <w:rPr>
                <w:sz w:val="1"/>
                <w:szCs w:val="1"/>
                <w:color w:val="auto"/>
              </w:rPr>
            </w:pPr>
          </w:p>
        </w:tc>
      </w:tr>
      <w:tr>
        <w:trPr>
          <w:trHeight w:val="170"/>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Capital Ratios</w:t>
            </w:r>
          </w:p>
        </w:tc>
        <w:tc>
          <w:tcPr>
            <w:tcW w:w="138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Ratios</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Buffer</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Ratios</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Bank</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Bank</w:t>
            </w:r>
          </w:p>
        </w:tc>
        <w:tc>
          <w:tcPr>
            <w:tcW w:w="0" w:type="dxa"/>
            <w:vAlign w:val="bottom"/>
          </w:tcPr>
          <w:p>
            <w:pPr>
              <w:spacing w:after="0"/>
              <w:rPr>
                <w:sz w:val="1"/>
                <w:szCs w:val="1"/>
                <w:color w:val="auto"/>
              </w:rPr>
            </w:pPr>
          </w:p>
        </w:tc>
      </w:tr>
      <w:tr>
        <w:trPr>
          <w:trHeight w:val="156"/>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Tier 1 leverage capital ratio</w:t>
            </w:r>
          </w:p>
        </w:tc>
        <w:tc>
          <w:tcPr>
            <w:tcW w:w="138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3"/>
                <w:szCs w:val="13"/>
                <w:color w:val="auto"/>
              </w:rPr>
              <w:t>4.00%</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4.00%</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11.46%</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11.30%</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10.27%</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10.17%</w:t>
            </w:r>
          </w:p>
        </w:tc>
        <w:tc>
          <w:tcPr>
            <w:tcW w:w="0" w:type="dxa"/>
            <w:vAlign w:val="bottom"/>
          </w:tcPr>
          <w:p>
            <w:pPr>
              <w:spacing w:after="0"/>
              <w:rPr>
                <w:sz w:val="1"/>
                <w:szCs w:val="1"/>
                <w:color w:val="auto"/>
              </w:rPr>
            </w:pPr>
          </w:p>
        </w:tc>
      </w:tr>
      <w:tr>
        <w:trPr>
          <w:trHeight w:val="156"/>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equity Tier 1 capital ratio</w:t>
            </w:r>
          </w:p>
        </w:tc>
        <w:tc>
          <w:tcPr>
            <w:tcW w:w="138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4.50%</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7.00%</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6.50%</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16.24%</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16.01%</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14.65%</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14.49%</w:t>
            </w:r>
          </w:p>
        </w:tc>
        <w:tc>
          <w:tcPr>
            <w:tcW w:w="0" w:type="dxa"/>
            <w:vAlign w:val="bottom"/>
          </w:tcPr>
          <w:p>
            <w:pPr>
              <w:spacing w:after="0"/>
              <w:rPr>
                <w:sz w:val="1"/>
                <w:szCs w:val="1"/>
                <w:color w:val="auto"/>
              </w:rPr>
            </w:pPr>
          </w:p>
        </w:tc>
      </w:tr>
      <w:tr>
        <w:trPr>
          <w:trHeight w:val="156"/>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Tier 1 risk-based capital ratio</w:t>
            </w:r>
          </w:p>
        </w:tc>
        <w:tc>
          <w:tcPr>
            <w:tcW w:w="138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3"/>
                <w:szCs w:val="13"/>
                <w:color w:val="auto"/>
              </w:rPr>
              <w:t>6.00%</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8.50%</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8.00%</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16.24%</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16.01%</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14.65%</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14.49%</w:t>
            </w:r>
          </w:p>
        </w:tc>
        <w:tc>
          <w:tcPr>
            <w:tcW w:w="0" w:type="dxa"/>
            <w:vAlign w:val="bottom"/>
          </w:tcPr>
          <w:p>
            <w:pPr>
              <w:spacing w:after="0"/>
              <w:rPr>
                <w:sz w:val="1"/>
                <w:szCs w:val="1"/>
                <w:color w:val="auto"/>
              </w:rPr>
            </w:pPr>
          </w:p>
        </w:tc>
      </w:tr>
      <w:tr>
        <w:trPr>
          <w:trHeight w:val="172"/>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risk-based capital ratio</w:t>
            </w:r>
          </w:p>
        </w:tc>
        <w:tc>
          <w:tcPr>
            <w:tcW w:w="138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8.00%</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10.50%</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10.00%</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17.06%</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16.82%</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15.50%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15.34%</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RISK MANAGEMENT</w:t>
      </w:r>
    </w:p>
    <w:p>
      <w:pPr>
        <w:spacing w:after="0" w:line="154" w:lineRule="exact"/>
        <w:rPr>
          <w:sz w:val="20"/>
          <w:szCs w:val="20"/>
          <w:color w:val="auto"/>
        </w:rPr>
      </w:pPr>
    </w:p>
    <w:p>
      <w:pPr>
        <w:ind w:right="60" w:firstLine="588"/>
        <w:spacing w:after="0" w:line="238" w:lineRule="auto"/>
        <w:rPr>
          <w:sz w:val="20"/>
          <w:szCs w:val="20"/>
          <w:color w:val="auto"/>
        </w:rPr>
      </w:pPr>
      <w:r>
        <w:rPr>
          <w:rFonts w:ascii="Times New Roman" w:cs="Times New Roman" w:eastAsia="Times New Roman" w:hAnsi="Times New Roman"/>
          <w:sz w:val="16"/>
          <w:szCs w:val="16"/>
          <w:color w:val="auto"/>
        </w:rPr>
        <w:t>All financial institutions must manage and control a variety of business risks that can significantly affect their financial performance. Our Board of Directors (“Board”) and executive management team have overall and ultimate responsibility for management of these risks, which they carry out through committees with specific and well-defined risk management functions. The Risk Management Program that we have adopted seeks to implement the proper control and management of key risk factors inherent in the operation of the Company and the Bank. Some of the key risks that we must manage are credit risks, interest rate risk, liquidity risk, market risks, transaction risk, compliance risk, strategic risk (including reputation risk), legal risk, and cybersecurity risk. These specific risk factors are not mutually exclusive. It is recognized that any product or service offered by us may expose the Bank to one or more of these risks. Our Risk Management Committee and Risk Management Division monitor these risks to minimize exposure to the Company. The Board and its committees work closely with management in overseeing risk. Each Board committee receives reports and information regarding risk issues directly from management.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Risk Management</w:t>
      </w:r>
    </w:p>
    <w:p>
      <w:pPr>
        <w:spacing w:after="0" w:line="156" w:lineRule="exact"/>
        <w:rPr>
          <w:sz w:val="20"/>
          <w:szCs w:val="20"/>
          <w:color w:val="auto"/>
        </w:rPr>
      </w:pPr>
    </w:p>
    <w:p>
      <w:pPr>
        <w:ind w:right="160" w:firstLine="588"/>
        <w:spacing w:after="0" w:line="243" w:lineRule="auto"/>
        <w:rPr>
          <w:sz w:val="20"/>
          <w:szCs w:val="20"/>
          <w:color w:val="auto"/>
        </w:rPr>
      </w:pPr>
      <w:r>
        <w:rPr>
          <w:rFonts w:ascii="Times New Roman" w:cs="Times New Roman" w:eastAsia="Times New Roman" w:hAnsi="Times New Roman"/>
          <w:sz w:val="16"/>
          <w:szCs w:val="16"/>
          <w:color w:val="auto"/>
        </w:rPr>
        <w:t>Loans represent the largest component of assets on our balance sheet and their related credit risk is among the most significant risks we manage. We define credit risk as the risk of loss associated with a borrower or counterparty default (failure to meet obligations in accordance with agreed upon terms). Credit risk is found in all activities where success depends on a counter party, issuer, or borrower performance. Credit risk arises through the extension of loans and leases, certain securities, and letters of credit.</w:t>
      </w:r>
    </w:p>
    <w:p>
      <w:pPr>
        <w:spacing w:after="0" w:line="131" w:lineRule="exact"/>
        <w:rPr>
          <w:sz w:val="20"/>
          <w:szCs w:val="20"/>
          <w:color w:val="auto"/>
        </w:rPr>
      </w:pPr>
    </w:p>
    <w:p>
      <w:pPr>
        <w:ind w:right="180" w:firstLine="588"/>
        <w:spacing w:after="0" w:line="243" w:lineRule="auto"/>
        <w:rPr>
          <w:sz w:val="20"/>
          <w:szCs w:val="20"/>
          <w:color w:val="auto"/>
        </w:rPr>
      </w:pPr>
      <w:r>
        <w:rPr>
          <w:rFonts w:ascii="Times New Roman" w:cs="Times New Roman" w:eastAsia="Times New Roman" w:hAnsi="Times New Roman"/>
          <w:sz w:val="16"/>
          <w:szCs w:val="16"/>
          <w:color w:val="auto"/>
        </w:rPr>
        <w:t>Natural disasters, such as storms, earthquakes, drought and other weather conditions, effects of pandemics, and problems related to possible climate changes, social unrest or protest, may from time-to -time cause or create the risk of damage to facilities, buildings, property or other assets of Bank customers, borrowers or municipal debt issuers. This could in turn affect their financial condition or results of operations and as a consequence their ability or capacity to repay debt or fulfill other obligations to the Bank.</w:t>
      </w:r>
    </w:p>
    <w:p>
      <w:pPr>
        <w:spacing w:after="0" w:line="131" w:lineRule="exact"/>
        <w:rPr>
          <w:sz w:val="20"/>
          <w:szCs w:val="20"/>
          <w:color w:val="auto"/>
        </w:rPr>
      </w:pPr>
    </w:p>
    <w:p>
      <w:pPr>
        <w:ind w:right="140" w:firstLine="588"/>
        <w:spacing w:after="0" w:line="243" w:lineRule="auto"/>
        <w:rPr>
          <w:sz w:val="20"/>
          <w:szCs w:val="20"/>
          <w:color w:val="auto"/>
        </w:rPr>
      </w:pPr>
      <w:r>
        <w:rPr>
          <w:rFonts w:ascii="Times New Roman" w:cs="Times New Roman" w:eastAsia="Times New Roman" w:hAnsi="Times New Roman"/>
          <w:sz w:val="16"/>
          <w:szCs w:val="16"/>
          <w:color w:val="auto"/>
        </w:rPr>
        <w:t>Credit risk in the investment portfolio and correspondent bank accounts is in part addressed through defined limits in the Company’s policy statements. In addition, certain securities carry insurance to enhance the credit quality of the bond. Limitations on industry concentration, aggregate customer borrowings, geographic boundaries and standards on loan quality also are designed to reduce loan credit risk. Senior Management, Directors’ Committees, and the Board are provided with information to appropriately identify, measure, control and monitor the credit risk of the Company.</w:t>
      </w:r>
    </w:p>
    <w:p>
      <w:pPr>
        <w:spacing w:after="0" w:line="131" w:lineRule="exact"/>
        <w:rPr>
          <w:sz w:val="20"/>
          <w:szCs w:val="20"/>
          <w:color w:val="auto"/>
        </w:rPr>
      </w:pPr>
    </w:p>
    <w:p>
      <w:pPr>
        <w:ind w:right="220" w:firstLine="588"/>
        <w:spacing w:after="0" w:line="239" w:lineRule="auto"/>
        <w:rPr>
          <w:sz w:val="20"/>
          <w:szCs w:val="20"/>
          <w:color w:val="auto"/>
        </w:rPr>
      </w:pPr>
      <w:r>
        <w:rPr>
          <w:rFonts w:ascii="Times New Roman" w:cs="Times New Roman" w:eastAsia="Times New Roman" w:hAnsi="Times New Roman"/>
          <w:sz w:val="16"/>
          <w:szCs w:val="16"/>
          <w:color w:val="auto"/>
        </w:rPr>
        <w:t>The Bank’s loan policy is updated annually and approved by the Board. It prescribes underwriting guidelines and procedures for all loan categories in which the Bank participates to establish risk tolerance and parameters that are communicated throughout the Bank to ensure consistent and uniform lending practices. The underwriting guidelines include, among other things, approval limitation and hierarchy, documentation standards, loan-to- value limits, debt coverage ratio, overall credit-worthiness of the borrower, guarantor support, etc. All loan requests considered by the Bank should be for a clearly defined legitimate purpose with a determinable primary source, as well as alternate sources of repayment. All loans should be supported by appropriate documentation including, current financial statements, credit reports, collateral information, guarantor asset verification, tax returns, title reports, appraisals (where appropriate), and other documents of quality that will support the credit.</w:t>
      </w:r>
    </w:p>
    <w:p>
      <w:pPr>
        <w:spacing w:after="0" w:line="134" w:lineRule="exact"/>
        <w:rPr>
          <w:sz w:val="20"/>
          <w:szCs w:val="20"/>
          <w:color w:val="auto"/>
        </w:rPr>
      </w:pPr>
    </w:p>
    <w:p>
      <w:pPr>
        <w:ind w:right="180" w:firstLine="588"/>
        <w:spacing w:after="0" w:line="247" w:lineRule="auto"/>
        <w:rPr>
          <w:sz w:val="20"/>
          <w:szCs w:val="20"/>
          <w:color w:val="auto"/>
        </w:rPr>
      </w:pPr>
      <w:r>
        <w:rPr>
          <w:rFonts w:ascii="Times New Roman" w:cs="Times New Roman" w:eastAsia="Times New Roman" w:hAnsi="Times New Roman"/>
          <w:sz w:val="16"/>
          <w:szCs w:val="16"/>
          <w:color w:val="auto"/>
        </w:rPr>
        <w:t>The major lending categories are commercial and industrial loans, SBA loans, owner-occupied and non owner-occupied commercial real estate loans, construction loans, dairy &amp; livestock and agribusiness loans, residential real estate loans, and various consumer loan products. Loans underwritten to borrowers within these diverse categories require underwriting and documentation suited to the unique characteristics and inherent risks involved.</w:t>
      </w:r>
    </w:p>
    <w:p>
      <w:pPr>
        <w:spacing w:after="0" w:line="128" w:lineRule="exact"/>
        <w:rPr>
          <w:sz w:val="20"/>
          <w:szCs w:val="20"/>
          <w:color w:val="auto"/>
        </w:rPr>
      </w:pPr>
    </w:p>
    <w:p>
      <w:pPr>
        <w:ind w:firstLine="600"/>
        <w:spacing w:after="0" w:line="238" w:lineRule="auto"/>
        <w:rPr>
          <w:sz w:val="20"/>
          <w:szCs w:val="20"/>
          <w:color w:val="auto"/>
        </w:rPr>
      </w:pPr>
      <w:r>
        <w:rPr>
          <w:rFonts w:ascii="Times New Roman" w:cs="Times New Roman" w:eastAsia="Times New Roman" w:hAnsi="Times New Roman"/>
          <w:sz w:val="16"/>
          <w:szCs w:val="16"/>
          <w:color w:val="auto"/>
        </w:rPr>
        <w:t>Commercial and industrial loans require credit structures that are tailored to the specific purpose of the business loan, involving a thorough analysis of the borrower’s business, cash flow, collateral, industry risks, economic risks, credit, character, and guarantor support. Owner-occupied real estate loans are primarily based upon the capacity and stability of the cash flow generated by the occupying business and the market value of the collateral, among other things. Non owner -occupied real estate is typically underwritten to the income produced by the subject property and many considerations unique to the various types of property (i.e. office, retail, warehouse, shopping center, medical, etc.), as well as, the financial support provided by sponsors in recourse transactions. Construction loans will often depend on the specific characteristics of the project, the market for the specific development, real estate values, and the equity and financial strength of the sponsors. Dairy &amp; livestock and agribusiness loans are largely predicated on the revenue cycles and demand for milk and crops, commodity prices, collateral values of herd, feed, and income-producing dairies or croplands, and the financial support of the</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9" w:right="660" w:bottom="1440" w:gutter="0" w:footer="0" w:header="0"/>
        </w:sectPr>
      </w:pPr>
    </w:p>
    <w:bookmarkStart w:id="71" w:name="page72"/>
    <w:bookmarkEnd w:id="71"/>
    <w:p>
      <w:pPr>
        <w:spacing w:after="0" w:line="13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guarantors. Underwriting of residential real estate and consumer loans are generally driven by personal income and debt service capacity, credit history and scores, and collateral values.</w:t>
      </w:r>
    </w:p>
    <w:p>
      <w:pPr>
        <w:spacing w:after="0" w:line="119"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color w:val="auto"/>
        </w:rPr>
        <w:t>SBA loans require credit structures that conform to the various requirements of the SBA programs specific to the type of loan request and the Bank’s loan policy as it relates to these loans. The SBA 7(a) loans are similar to the commercial and industrial loans that are tailored to the specific purpose of the business loan, involving a thorough analysis of the borrower’s business, cash flow, collateral, industry risks, economic risks, credit, character, and guarantor support for both the Bank and the SBA. Once granted, the SBA 7(a) loans require the Bank to follow SBA servicing guidelines to maintain the SBA guaranty which typically ranges from 75% to 90% depending on the type of 7(a) loan. SBA 504 loans are similar to the Bank’s Owner-occupied real estate loans. As such they are primarily based upon the capacity and stability of the cash flow generated by the occupying business and the market value of the collateral, among other things. When the Bank funds an SBA 504 transaction, which includes the 50% - 65% first trust deed loan and the 25% - 40% second trust deed loan, the initial risk is centered in completing the SBA’s requirements to provide for the payoff of the second trust deed loan from the subordinated debenture. Once the 504 second is paid off, the remaining first trust deed loan is then managed under the same requirements applied to the Bank’s owner-occupied commercial real estate loans. It should be noted that both the SBA 7(a) and 504 programs provide loans for commercial real estate acquisition. However, the terms and advances rates available under the 7(a) program are outside of the Bank’s standard loan programs and risk profile and therefore require a credit enhancement in the form of the SBA guaranty. Additionally, the interest rates for the 7(a) program are typically variable and can adjust as often as monthly with quarterly adjustment the most typical. SBA 504 loan interest rates for the first trust deed loan are at the Bank’s discretion and subject to competitive pressures from other banks.</w:t>
      </w:r>
    </w:p>
    <w:p>
      <w:pPr>
        <w:spacing w:after="0" w:line="135" w:lineRule="exact"/>
        <w:rPr>
          <w:sz w:val="20"/>
          <w:szCs w:val="20"/>
          <w:color w:val="auto"/>
        </w:rPr>
      </w:pPr>
    </w:p>
    <w:p>
      <w:pPr>
        <w:ind w:firstLine="588"/>
        <w:spacing w:after="0" w:line="284" w:lineRule="auto"/>
        <w:rPr>
          <w:sz w:val="20"/>
          <w:szCs w:val="20"/>
          <w:color w:val="auto"/>
        </w:rPr>
      </w:pPr>
      <w:r>
        <w:rPr>
          <w:rFonts w:ascii="Times New Roman" w:cs="Times New Roman" w:eastAsia="Times New Roman" w:hAnsi="Times New Roman"/>
          <w:sz w:val="14"/>
          <w:szCs w:val="14"/>
          <w:color w:val="auto"/>
        </w:rPr>
        <w:t>Implicit in lending activities is the risk that losses will occur and that the amount of such losses will vary over time. Consequently, we maintain an Allowance for Credit Losses (“ACL”) by charging a provision for credit losses to earnings. Loans determined to be losses are charged against the allowance for credit losses. In this regard, it is important to note that the Bank’s practice with regard to these loans, including modified loans to borrowers experiencing financial difficulty, is to generally charge off any loss amount against the ACL upon evaluating the loan at the time a probable loss becomes recognized. As such, the Bank’s specific allowance for loans, including modified loans to borrowers experiencing financial difficulty, is relatively low since any known loss amount will generally have been charged off.</w:t>
      </w:r>
    </w:p>
    <w:p>
      <w:pPr>
        <w:spacing w:after="0" w:line="104" w:lineRule="exact"/>
        <w:rPr>
          <w:sz w:val="20"/>
          <w:szCs w:val="20"/>
          <w:color w:val="auto"/>
        </w:rPr>
      </w:pPr>
    </w:p>
    <w:p>
      <w:pPr>
        <w:ind w:right="260" w:firstLine="588"/>
        <w:spacing w:after="0" w:line="241" w:lineRule="auto"/>
        <w:rPr>
          <w:sz w:val="20"/>
          <w:szCs w:val="20"/>
          <w:color w:val="auto"/>
        </w:rPr>
      </w:pPr>
      <w:r>
        <w:rPr>
          <w:rFonts w:ascii="Times New Roman" w:cs="Times New Roman" w:eastAsia="Times New Roman" w:hAnsi="Times New Roman"/>
          <w:sz w:val="16"/>
          <w:szCs w:val="16"/>
          <w:color w:val="auto"/>
        </w:rPr>
        <w:t>Central to our credit risk management is its loan risk rating system. The originating credit officer assigns borrowers an initial risk rating, which is reviewed and possibly changed by credit management. The risk rating is based primarily on an analysis of each borrower’s financial capacity in conjunction with industry and economic trends. Credit approvals are made based upon our evaluation of the inherent credit risk specific to the transaction and are reviewed for appropriateness by senior line and credit management personnel. Credits are monitored by line and credit management personnel for deterioration in a borrower’s financial condition, which would impact the ability of the borrower to perform under the contract. Risk ratings may be adjusted as necessary.</w:t>
      </w:r>
    </w:p>
    <w:p>
      <w:pPr>
        <w:spacing w:after="0" w:line="133" w:lineRule="exact"/>
        <w:rPr>
          <w:sz w:val="20"/>
          <w:szCs w:val="20"/>
          <w:color w:val="auto"/>
        </w:rPr>
      </w:pPr>
    </w:p>
    <w:p>
      <w:pPr>
        <w:ind w:right="180" w:firstLine="588"/>
        <w:spacing w:after="0" w:line="247" w:lineRule="auto"/>
        <w:rPr>
          <w:sz w:val="20"/>
          <w:szCs w:val="20"/>
          <w:color w:val="auto"/>
        </w:rPr>
      </w:pPr>
      <w:r>
        <w:rPr>
          <w:rFonts w:ascii="Times New Roman" w:cs="Times New Roman" w:eastAsia="Times New Roman" w:hAnsi="Times New Roman"/>
          <w:sz w:val="16"/>
          <w:szCs w:val="16"/>
          <w:color w:val="auto"/>
        </w:rPr>
        <w:t>Loans are risk rated into the following categories: Pass, Special Mention, Substandard, Doubtful, and Loss. Each of these groups is assessed and appropriate amounts used in determining the adequacy of our ACL. Nonperforming and Doubtful loans are analyzed on an individual basis for allowance amounts. The other categories have formulae used to determine the needed allowance amount.</w:t>
      </w:r>
    </w:p>
    <w:p>
      <w:pPr>
        <w:spacing w:after="0" w:line="128" w:lineRule="exact"/>
        <w:rPr>
          <w:sz w:val="20"/>
          <w:szCs w:val="20"/>
          <w:color w:val="auto"/>
        </w:rPr>
      </w:pPr>
    </w:p>
    <w:p>
      <w:pPr>
        <w:ind w:right="100" w:firstLine="588"/>
        <w:spacing w:after="0" w:line="259" w:lineRule="auto"/>
        <w:rPr>
          <w:sz w:val="20"/>
          <w:szCs w:val="20"/>
          <w:color w:val="auto"/>
        </w:rPr>
      </w:pPr>
      <w:r>
        <w:rPr>
          <w:rFonts w:ascii="Times New Roman" w:cs="Times New Roman" w:eastAsia="Times New Roman" w:hAnsi="Times New Roman"/>
          <w:sz w:val="16"/>
          <w:szCs w:val="16"/>
          <w:color w:val="auto"/>
        </w:rPr>
        <w:t>The Company obtains a semi-annual independent credit review by engaging an outside party to review a sample of our loans and leases. The primary purpose of this review is to evaluate our existing loan ratings.</w:t>
      </w:r>
    </w:p>
    <w:p>
      <w:pPr>
        <w:spacing w:after="0" w:line="119" w:lineRule="exact"/>
        <w:rPr>
          <w:sz w:val="20"/>
          <w:szCs w:val="20"/>
          <w:color w:val="auto"/>
        </w:rPr>
      </w:pPr>
    </w:p>
    <w:p>
      <w:pPr>
        <w:ind w:right="40" w:firstLine="588"/>
        <w:spacing w:after="0" w:line="259" w:lineRule="auto"/>
        <w:rPr>
          <w:sz w:val="20"/>
          <w:szCs w:val="20"/>
          <w:color w:val="auto"/>
        </w:rPr>
      </w:pPr>
      <w:r>
        <w:rPr>
          <w:rFonts w:ascii="Times New Roman" w:cs="Times New Roman" w:eastAsia="Times New Roman" w:hAnsi="Times New Roman"/>
          <w:sz w:val="16"/>
          <w:szCs w:val="16"/>
          <w:color w:val="auto"/>
        </w:rPr>
        <w:t>Refer to additional discussion concerning loans, nonperforming assets, allowance for credit losses and related tables under the Analysis of Financial Condition contained herein.</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2" w:name="page73"/>
    <w:bookmarkEnd w:id="72"/>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Risk</w:t>
      </w:r>
    </w:p>
    <w:p>
      <w:pPr>
        <w:spacing w:after="0" w:line="156" w:lineRule="exact"/>
        <w:rPr>
          <w:sz w:val="20"/>
          <w:szCs w:val="20"/>
          <w:color w:val="auto"/>
        </w:rPr>
      </w:pPr>
    </w:p>
    <w:p>
      <w:pPr>
        <w:ind w:right="220" w:firstLine="588"/>
        <w:spacing w:after="0" w:line="243" w:lineRule="auto"/>
        <w:rPr>
          <w:sz w:val="20"/>
          <w:szCs w:val="20"/>
          <w:color w:val="auto"/>
        </w:rPr>
      </w:pPr>
      <w:r>
        <w:rPr>
          <w:rFonts w:ascii="Times New Roman" w:cs="Times New Roman" w:eastAsia="Times New Roman" w:hAnsi="Times New Roman"/>
          <w:sz w:val="16"/>
          <w:szCs w:val="16"/>
          <w:color w:val="auto"/>
        </w:rPr>
        <w:t>Transaction risk is the risk to earnings or capital arising from problems in service, activity or product delivery. This risk is significant within any bank and is interconnected with other risk categories in most activities throughout the Company. Transaction risk is a function of internal controls, information systems, associate integrity, and operating processes. Transaction risk is also referred to as operating or operational risk. It arises daily throughout the Company as transactions are processed. It pervades all divisions, departments and centers and is inherent in all products and services we offer.</w:t>
      </w:r>
    </w:p>
    <w:p>
      <w:pPr>
        <w:spacing w:after="0" w:line="131" w:lineRule="exact"/>
        <w:rPr>
          <w:sz w:val="20"/>
          <w:szCs w:val="20"/>
          <w:color w:val="auto"/>
        </w:rPr>
      </w:pPr>
    </w:p>
    <w:p>
      <w:pPr>
        <w:ind w:right="120" w:firstLine="588"/>
        <w:spacing w:after="0" w:line="243" w:lineRule="auto"/>
        <w:rPr>
          <w:sz w:val="20"/>
          <w:szCs w:val="20"/>
          <w:color w:val="auto"/>
        </w:rPr>
      </w:pPr>
      <w:r>
        <w:rPr>
          <w:rFonts w:ascii="Times New Roman" w:cs="Times New Roman" w:eastAsia="Times New Roman" w:hAnsi="Times New Roman"/>
          <w:sz w:val="16"/>
          <w:szCs w:val="16"/>
          <w:color w:val="auto"/>
        </w:rPr>
        <w:t>Operational risk is the risk to earnings or capital arising from inadequate or failed internal processes or systems, human errors or misconduct, or adverse external events. Operational losses result from internal or external fraud, employment practices and workplace safety, failure to meet professional obligations involving customers, products, and business practices, damage to physical assets, business disruption and systems failures, and failures in execution, delivery, and process management.</w:t>
      </w:r>
    </w:p>
    <w:p>
      <w:pPr>
        <w:spacing w:after="0" w:line="131" w:lineRule="exact"/>
        <w:rPr>
          <w:sz w:val="20"/>
          <w:szCs w:val="20"/>
          <w:color w:val="auto"/>
        </w:rPr>
      </w:pPr>
    </w:p>
    <w:p>
      <w:pPr>
        <w:jc w:val="both"/>
        <w:ind w:right="240" w:firstLine="588"/>
        <w:spacing w:after="0" w:line="247" w:lineRule="auto"/>
        <w:rPr>
          <w:sz w:val="20"/>
          <w:szCs w:val="20"/>
          <w:color w:val="auto"/>
        </w:rPr>
      </w:pPr>
      <w:r>
        <w:rPr>
          <w:rFonts w:ascii="Times New Roman" w:cs="Times New Roman" w:eastAsia="Times New Roman" w:hAnsi="Times New Roman"/>
          <w:sz w:val="16"/>
          <w:szCs w:val="16"/>
          <w:color w:val="auto"/>
        </w:rPr>
        <w:t>In general, transaction risk is defined as high, medium or low by the Company. The audit plan ensures that high risk areas are reviewed annually. We utilize internal auditors and independent audit firms to test key controls of operational processes and to audit information systems, compliance management programs, loan credit reviews and trust services.</w:t>
      </w:r>
    </w:p>
    <w:p>
      <w:pPr>
        <w:spacing w:after="0" w:line="128" w:lineRule="exact"/>
        <w:rPr>
          <w:sz w:val="20"/>
          <w:szCs w:val="20"/>
          <w:color w:val="auto"/>
        </w:rPr>
      </w:pPr>
    </w:p>
    <w:p>
      <w:pPr>
        <w:ind w:right="160" w:firstLine="588"/>
        <w:spacing w:after="0" w:line="247" w:lineRule="auto"/>
        <w:rPr>
          <w:sz w:val="20"/>
          <w:szCs w:val="20"/>
          <w:color w:val="auto"/>
        </w:rPr>
      </w:pPr>
      <w:r>
        <w:rPr>
          <w:rFonts w:ascii="Times New Roman" w:cs="Times New Roman" w:eastAsia="Times New Roman" w:hAnsi="Times New Roman"/>
          <w:sz w:val="16"/>
          <w:szCs w:val="16"/>
          <w:color w:val="auto"/>
        </w:rPr>
        <w:t>The key to monitoring transaction risk is in the design, documentation and implementation of well-defined procedures. Any system of controls, however well designed and operated, is based in part on certain assumptions and can provide only reasonable, but not absolute, assurances of the effectiveness of these systems and controls, and that the objectives of these controls have been met.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Compliance Risk Management</w:t>
      </w:r>
    </w:p>
    <w:p>
      <w:pPr>
        <w:spacing w:after="0" w:line="156" w:lineRule="exact"/>
        <w:rPr>
          <w:sz w:val="20"/>
          <w:szCs w:val="20"/>
          <w:color w:val="auto"/>
        </w:rPr>
      </w:pPr>
    </w:p>
    <w:p>
      <w:pPr>
        <w:ind w:right="80" w:firstLine="588"/>
        <w:spacing w:after="0" w:line="239" w:lineRule="auto"/>
        <w:rPr>
          <w:sz w:val="20"/>
          <w:szCs w:val="20"/>
          <w:color w:val="auto"/>
        </w:rPr>
      </w:pPr>
      <w:r>
        <w:rPr>
          <w:rFonts w:ascii="Times New Roman" w:cs="Times New Roman" w:eastAsia="Times New Roman" w:hAnsi="Times New Roman"/>
          <w:sz w:val="16"/>
          <w:szCs w:val="16"/>
          <w:color w:val="auto"/>
        </w:rPr>
        <w:t>Compliance risk (also known as Regulatory risk) is the risk to earnings or capital arising from violations of, or non -conformance with, laws, rules, regulations, prescribed practices, or ethical standards. Compliance risk also arises in situations where the laws or rules governing certain products or activities of the Bank’s customers, vendors or business partners may be ambiguous or untested. Compliance risk exposes us to fines, civil money penalties, payment of damages, and the voiding of contracts. Compliance risk can also lead to a diminished reputation, reduced business value, limited business opportunities, lessened expansion potential, and lack of contract enforceability. The Company utilizes independent compliance audits as a means of assessing the effectiveness and identifying weaknesses in the compliance program.</w:t>
      </w:r>
    </w:p>
    <w:p>
      <w:pPr>
        <w:spacing w:after="0" w:line="137" w:lineRule="exact"/>
        <w:rPr>
          <w:sz w:val="20"/>
          <w:szCs w:val="20"/>
          <w:color w:val="auto"/>
        </w:rPr>
      </w:pPr>
    </w:p>
    <w:p>
      <w:pPr>
        <w:jc w:val="both"/>
        <w:ind w:firstLine="588"/>
        <w:spacing w:after="0" w:line="299" w:lineRule="auto"/>
        <w:rPr>
          <w:sz w:val="20"/>
          <w:szCs w:val="20"/>
          <w:color w:val="auto"/>
        </w:rPr>
      </w:pPr>
      <w:r>
        <w:rPr>
          <w:rFonts w:ascii="Times New Roman" w:cs="Times New Roman" w:eastAsia="Times New Roman" w:hAnsi="Times New Roman"/>
          <w:sz w:val="14"/>
          <w:szCs w:val="14"/>
          <w:color w:val="auto"/>
        </w:rPr>
        <w:t>There is no single or primary source of compliance risk. It is inherent in every activity. Frequently, it blends into operational risk and transaction risk. A portion of this risk is sometimes referred to as legal risk. This is not limited solely to risk from failure to comply with consumer protection laws; it encompasses all laws, as well as prudent ethical standards and contractual obligations. It also includes the exposure to litigation from all aspects of banking, traditional and non-traditional.</w:t>
      </w:r>
    </w:p>
    <w:p>
      <w:pPr>
        <w:spacing w:after="0" w:line="95" w:lineRule="exact"/>
        <w:rPr>
          <w:sz w:val="20"/>
          <w:szCs w:val="20"/>
          <w:color w:val="auto"/>
        </w:rPr>
      </w:pPr>
    </w:p>
    <w:p>
      <w:pPr>
        <w:ind w:right="220" w:firstLine="588"/>
        <w:spacing w:after="0" w:line="243" w:lineRule="auto"/>
        <w:rPr>
          <w:sz w:val="20"/>
          <w:szCs w:val="20"/>
          <w:color w:val="auto"/>
        </w:rPr>
      </w:pPr>
      <w:r>
        <w:rPr>
          <w:rFonts w:ascii="Times New Roman" w:cs="Times New Roman" w:eastAsia="Times New Roman" w:hAnsi="Times New Roman"/>
          <w:sz w:val="16"/>
          <w:szCs w:val="16"/>
          <w:color w:val="auto"/>
        </w:rPr>
        <w:t>Our Risk Management Policy and Program and the Code of Ethical Conduct are cornerstones for controlling compliance risk. An integral part of controlling this risk is the proper training of associates. The Chief Risk Officer is responsible for developing and executing a comprehensive compliance training program. The Chief Risk Officer, in consultation with our internal and external legal counsel, seeks to provide our associates with adequate training commensurate to their job functions to ensure compliance with banking laws and regulations.</w:t>
      </w:r>
    </w:p>
    <w:p>
      <w:pPr>
        <w:spacing w:after="0" w:line="131" w:lineRule="exact"/>
        <w:rPr>
          <w:sz w:val="20"/>
          <w:szCs w:val="20"/>
          <w:color w:val="auto"/>
        </w:rPr>
      </w:pPr>
    </w:p>
    <w:p>
      <w:pPr>
        <w:ind w:right="60" w:firstLine="588"/>
        <w:spacing w:after="0" w:line="241" w:lineRule="auto"/>
        <w:rPr>
          <w:sz w:val="20"/>
          <w:szCs w:val="20"/>
          <w:color w:val="auto"/>
        </w:rPr>
      </w:pPr>
      <w:r>
        <w:rPr>
          <w:rFonts w:ascii="Times New Roman" w:cs="Times New Roman" w:eastAsia="Times New Roman" w:hAnsi="Times New Roman"/>
          <w:sz w:val="16"/>
          <w:szCs w:val="16"/>
          <w:color w:val="auto"/>
        </w:rPr>
        <w:t>Our Risk Management Policy and Program includes a risk- based audit program aimed at identifying internal control deficiencies and weaknesses. The Compliance Management Program includes a monitoring process to address external and internal risks, including regulatory change management, the evolving products and services, and strategies of the front-line units and control functions. Additionally, in-depth audits are performed by our internal audit department under the direction of our Chief Audit Executive and supplemented by independent external firms. Annually, an Audit Plan for the Company is developed and presented for approval to the Audit Committee of the Board.</w:t>
      </w:r>
    </w:p>
    <w:p>
      <w:pPr>
        <w:spacing w:after="0" w:line="133" w:lineRule="exact"/>
        <w:rPr>
          <w:sz w:val="20"/>
          <w:szCs w:val="20"/>
          <w:color w:val="auto"/>
        </w:rPr>
      </w:pPr>
    </w:p>
    <w:p>
      <w:pPr>
        <w:ind w:right="200" w:firstLine="600"/>
        <w:spacing w:after="0" w:line="243" w:lineRule="auto"/>
        <w:rPr>
          <w:sz w:val="20"/>
          <w:szCs w:val="20"/>
          <w:color w:val="auto"/>
        </w:rPr>
      </w:pPr>
      <w:r>
        <w:rPr>
          <w:rFonts w:ascii="Times New Roman" w:cs="Times New Roman" w:eastAsia="Times New Roman" w:hAnsi="Times New Roman"/>
          <w:sz w:val="16"/>
          <w:szCs w:val="16"/>
          <w:color w:val="auto"/>
        </w:rPr>
        <w:t>The Risk Management Division conducts periodic monitoring of our compliance efforts with a special focus on business and control functions, assessing the inherent compliance risk of activities and the effectiveness of controls, and identifying control weaknesses that are to be strengthened or enhanced. Any material exceptions identified are brought forward to the appropriate department head, and appropriate management and board committees. This reporting provides an independent view of compliance risk across the company, and supports transparent communication and management awareness of compliance risk.</w:t>
      </w:r>
    </w:p>
    <w:p>
      <w:pPr>
        <w:spacing w:after="0" w:line="167" w:lineRule="exact"/>
        <w:rPr>
          <w:sz w:val="20"/>
          <w:szCs w:val="20"/>
          <w:color w:val="auto"/>
        </w:rPr>
      </w:pPr>
    </w:p>
    <w:p>
      <w:pPr>
        <w:ind w:right="380" w:firstLine="588"/>
        <w:spacing w:after="0" w:line="259" w:lineRule="auto"/>
        <w:rPr>
          <w:sz w:val="20"/>
          <w:szCs w:val="20"/>
          <w:color w:val="auto"/>
        </w:rPr>
      </w:pPr>
      <w:r>
        <w:rPr>
          <w:rFonts w:ascii="Times New Roman" w:cs="Times New Roman" w:eastAsia="Times New Roman" w:hAnsi="Times New Roman"/>
          <w:sz w:val="16"/>
          <w:szCs w:val="16"/>
          <w:color w:val="auto"/>
        </w:rPr>
        <w:t>We recognize that customer complaints can often identify weaknesses in our compliance program which could expose us to risk. Therefore, we attempt to ensure that all complaints are given prompt attention. Our Compliance</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3" w:name="page74"/>
    <w:bookmarkEnd w:id="73"/>
    <w:p>
      <w:pPr>
        <w:spacing w:after="0" w:line="1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Management Policy and Program include provisions on how customer complaints are to be addressed. The Chief Risk Officer reviews formal complaints to determine if a significant compliance risk exists and communicates those findings to the Compliance Management and Risk Management Committees.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Strategic Risk</w:t>
      </w:r>
    </w:p>
    <w:p>
      <w:pPr>
        <w:spacing w:after="0" w:line="156" w:lineRule="exact"/>
        <w:rPr>
          <w:sz w:val="20"/>
          <w:szCs w:val="20"/>
          <w:color w:val="auto"/>
        </w:rPr>
      </w:pPr>
    </w:p>
    <w:p>
      <w:pPr>
        <w:ind w:right="220" w:firstLine="588"/>
        <w:spacing w:after="0" w:line="259" w:lineRule="auto"/>
        <w:rPr>
          <w:sz w:val="20"/>
          <w:szCs w:val="20"/>
          <w:color w:val="auto"/>
        </w:rPr>
      </w:pPr>
      <w:r>
        <w:rPr>
          <w:rFonts w:ascii="Times New Roman" w:cs="Times New Roman" w:eastAsia="Times New Roman" w:hAnsi="Times New Roman"/>
          <w:sz w:val="16"/>
          <w:szCs w:val="16"/>
          <w:color w:val="auto"/>
        </w:rPr>
        <w:t>Strategic risk is the risk to earnings or capital arising from adverse decisions or improper implementation of strategic decisions. This risk is a function of the compatibility between an organization’s goals, the resources deployed against those goals and the quality of implementation.</w:t>
      </w:r>
    </w:p>
    <w:p>
      <w:pPr>
        <w:spacing w:after="0" w:line="119" w:lineRule="exact"/>
        <w:rPr>
          <w:sz w:val="20"/>
          <w:szCs w:val="20"/>
          <w:color w:val="auto"/>
        </w:rPr>
      </w:pPr>
    </w:p>
    <w:p>
      <w:pPr>
        <w:ind w:right="40" w:firstLine="588"/>
        <w:spacing w:after="0" w:line="247" w:lineRule="auto"/>
        <w:rPr>
          <w:sz w:val="20"/>
          <w:szCs w:val="20"/>
          <w:color w:val="auto"/>
        </w:rPr>
      </w:pPr>
      <w:r>
        <w:rPr>
          <w:rFonts w:ascii="Times New Roman" w:cs="Times New Roman" w:eastAsia="Times New Roman" w:hAnsi="Times New Roman"/>
          <w:sz w:val="16"/>
          <w:szCs w:val="16"/>
          <w:color w:val="auto"/>
        </w:rPr>
        <w:t>Strategic risks are identified as part of the strategic planning process. Strategic planning sessions, with members of the Board of Directors, Executive Leadership, and Senior Leadership are held annually. The strategic review consists of results of strategic initiatives, an assessment of the economic outlook, competitive analysis, and an industry outlook, including a legislative and regulatory review.</w:t>
      </w:r>
    </w:p>
    <w:p>
      <w:pPr>
        <w:spacing w:after="0" w:line="128" w:lineRule="exact"/>
        <w:rPr>
          <w:sz w:val="20"/>
          <w:szCs w:val="20"/>
          <w:color w:val="auto"/>
        </w:rPr>
      </w:pPr>
    </w:p>
    <w:p>
      <w:pPr>
        <w:ind w:right="40" w:firstLine="588"/>
        <w:spacing w:after="0" w:line="241" w:lineRule="auto"/>
        <w:rPr>
          <w:sz w:val="20"/>
          <w:szCs w:val="20"/>
          <w:color w:val="auto"/>
        </w:rPr>
      </w:pPr>
      <w:r>
        <w:rPr>
          <w:rFonts w:ascii="Times New Roman" w:cs="Times New Roman" w:eastAsia="Times New Roman" w:hAnsi="Times New Roman"/>
          <w:sz w:val="16"/>
          <w:szCs w:val="16"/>
          <w:color w:val="auto"/>
        </w:rPr>
        <w:t>Reputation risk is the risk to capital and earnings arising from negative public opinion. This affects the Bank’s ability to establish new relationships or services or continue servicing existing relationships. It can expose the Bank to litigation and, in some instances, financial loss. Reputation risk is inherent in all banking activities and requires management to exercise an abundance of caution in dealing with customers, counterparties, correspondence, investors, and the community. In addition, threats to the Bank’s reputation may result from negative publicity regarding matters such as unethical or deceptive business practices, violations of laws or regulations, regulatory enforcement actions, high profile litigation, or poor financial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Cybersecurity Risk</w:t>
      </w:r>
    </w:p>
    <w:p>
      <w:pPr>
        <w:spacing w:after="0" w:line="156"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Cybersecurity and fraud risk refers to the risk of failures, interruptions of services, or breaches of security with respect to the Company’s or the Bank’s communication, information, operations, devices, financial control, customer internet banking, customer information, email, data processing systems, or other bank or third party applications. The ability of the Company’s customers to bank remotely, including online and through mobile devices, requires secure transmission of confidential information and increases the risk of data security breaches. In addition, the Company and the Bank rely primarily on third party providers to develop, manage, maintain and protect our systems and applications. Any such failures, interruptions or fraud or security breaches, depending on the scope, duration, affected system(s) or customers(s), could expose the Company and/or the Bank to financial loss, reputation damage, litigation, or regulatory action. We continue to invest in technologies and training to protect our associates, our customers and our assets. While we have implemented various detective and preventative measures which seek to protect our Company, our customers’ information and the Bank from the risk of fraud, data security breaches or service interruptions, there can be no assurance that these measures will be effective in preventing potential breaches or losses for us or our customers.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4" w:name="page75"/>
    <w:bookmarkEnd w:id="74"/>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ASSET/LIABILITY AND MARKET RISK MANAGEMENT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Cash Flow</w:t>
      </w:r>
    </w:p>
    <w:p>
      <w:pPr>
        <w:spacing w:after="0" w:line="156" w:lineRule="exact"/>
        <w:rPr>
          <w:sz w:val="20"/>
          <w:szCs w:val="20"/>
          <w:color w:val="auto"/>
        </w:rPr>
      </w:pPr>
    </w:p>
    <w:p>
      <w:pPr>
        <w:ind w:right="180" w:firstLine="588"/>
        <w:spacing w:after="0" w:line="243" w:lineRule="auto"/>
        <w:rPr>
          <w:sz w:val="20"/>
          <w:szCs w:val="20"/>
          <w:color w:val="auto"/>
        </w:rPr>
      </w:pPr>
      <w:r>
        <w:rPr>
          <w:rFonts w:ascii="Times New Roman" w:cs="Times New Roman" w:eastAsia="Times New Roman" w:hAnsi="Times New Roman"/>
          <w:sz w:val="16"/>
          <w:szCs w:val="16"/>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31" w:lineRule="exact"/>
        <w:rPr>
          <w:sz w:val="20"/>
          <w:szCs w:val="20"/>
          <w:color w:val="auto"/>
        </w:rPr>
      </w:pPr>
    </w:p>
    <w:p>
      <w:pPr>
        <w:ind w:firstLine="588"/>
        <w:spacing w:after="0" w:line="280" w:lineRule="auto"/>
        <w:rPr>
          <w:sz w:val="20"/>
          <w:szCs w:val="20"/>
          <w:color w:val="auto"/>
        </w:rPr>
      </w:pPr>
      <w:r>
        <w:rPr>
          <w:rFonts w:ascii="Times New Roman" w:cs="Times New Roman" w:eastAsia="Times New Roman" w:hAnsi="Times New Roman"/>
          <w:sz w:val="14"/>
          <w:szCs w:val="14"/>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09" w:lineRule="exact"/>
        <w:rPr>
          <w:sz w:val="20"/>
          <w:szCs w:val="20"/>
          <w:color w:val="auto"/>
        </w:rPr>
      </w:pPr>
    </w:p>
    <w:p>
      <w:pPr>
        <w:ind w:right="140" w:firstLine="588"/>
        <w:spacing w:after="0" w:line="238" w:lineRule="auto"/>
        <w:rPr>
          <w:sz w:val="20"/>
          <w:szCs w:val="20"/>
          <w:color w:val="auto"/>
        </w:rPr>
      </w:pPr>
      <w:r>
        <w:rPr>
          <w:rFonts w:ascii="Times New Roman" w:cs="Times New Roman" w:eastAsia="Times New Roman" w:hAnsi="Times New Roman"/>
          <w:sz w:val="16"/>
          <w:szCs w:val="16"/>
          <w:color w:val="auto"/>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the Federal Home Loan Bank and the Federal Reserve, although availability under these lines of credit are subject to certain conditions. In addition to having more than $200 million of cash on the balance sheet at December 31, 2024, we had substantial sources of off-balance sheet liquidity. These sources of available liquidity include $4.2 billion of secured and unused capacity with the Federal Home Loan Bank, $1.1 billion of secured unused borrowing capacity at the Fed’s discount window, more than $183 million of unpledged AFS securities that could be pledged at the discount window and $305 million of unsecured lines of credit. We can also obtain additional liquidity from deposit growth by utilizing state and national wholesale markets.</w:t>
      </w:r>
    </w:p>
    <w:p>
      <w:pPr>
        <w:spacing w:after="0" w:line="134" w:lineRule="exact"/>
        <w:rPr>
          <w:sz w:val="20"/>
          <w:szCs w:val="20"/>
          <w:color w:val="auto"/>
        </w:rPr>
      </w:pPr>
    </w:p>
    <w:p>
      <w:pPr>
        <w:ind w:right="100" w:firstLine="588"/>
        <w:spacing w:after="0" w:line="239" w:lineRule="auto"/>
        <w:rPr>
          <w:sz w:val="20"/>
          <w:szCs w:val="20"/>
          <w:color w:val="auto"/>
        </w:rPr>
      </w:pPr>
      <w:r>
        <w:rPr>
          <w:rFonts w:ascii="Times New Roman" w:cs="Times New Roman" w:eastAsia="Times New Roman" w:hAnsi="Times New Roman"/>
          <w:sz w:val="16"/>
          <w:szCs w:val="16"/>
          <w:color w:val="auto"/>
        </w:rPr>
        <w:t>Our primary sources and uses of funds for the Company are deposits, customer repurchase agreements and loans. Total deposits and customer repos of $12.21 billion at December 31, 2024 increased $505.0 million, or 4.31%, over total deposits and customer repos of $11.71 billion at December 31, 2023. As of December 31, 2024, total borrowings, consisted of $0.50 billion of Federal Home Loan Bank advances, at an average cost of approximately 4.6%. Our deposit levels and cost of deposits may fluctuate from period-to-period due to a variety of factors, including the stability of our deposit base, prevailing interest rates, and market conditions. As most of our business customers need to operate with more than $250,000 in their operating account, we have a significant percentage of deposits that are uninsured. At December 31, 2024, our deposits and customer repurchase agreements that are neither collateralized nor insured were approximately $5.5 billion, or 45% of our total deposits and customer repos.</w:t>
      </w:r>
    </w:p>
    <w:p>
      <w:pPr>
        <w:spacing w:after="0" w:line="134" w:lineRule="exact"/>
        <w:rPr>
          <w:sz w:val="20"/>
          <w:szCs w:val="20"/>
          <w:color w:val="auto"/>
        </w:rPr>
      </w:pPr>
    </w:p>
    <w:p>
      <w:pPr>
        <w:ind w:right="160" w:firstLine="588"/>
        <w:spacing w:after="0" w:line="289" w:lineRule="auto"/>
        <w:rPr>
          <w:sz w:val="20"/>
          <w:szCs w:val="20"/>
          <w:color w:val="auto"/>
        </w:rPr>
      </w:pPr>
      <w:r>
        <w:rPr>
          <w:rFonts w:ascii="Times New Roman" w:cs="Times New Roman" w:eastAsia="Times New Roman" w:hAnsi="Times New Roman"/>
          <w:sz w:val="14"/>
          <w:szCs w:val="14"/>
          <w:color w:val="auto"/>
        </w:rPr>
        <w:t>In addition to the decrease in borrowings during 2024, we shrank our investment portfolio by not reinvesting the cashflows generated by our investments during 2024, as well as sales of securities exceeding purchases during the year. Our total investment portfolio declined by $499.0 million from December 31, 2023 to $4.92 billion as of December 31, 2024. The decrease was primarily due to a $414.0 million decline in AFS securities. AFS securities totaled $2.54 billion at the end of the fourth quarter, inclusive of a pre-tax net unrealized loss of $447.7 million. The pre-tax unrealized loss declined by $2.1 million from December 31, 2023.</w:t>
      </w:r>
    </w:p>
    <w:p>
      <w:pPr>
        <w:spacing w:after="0" w:line="101" w:lineRule="exact"/>
        <w:rPr>
          <w:sz w:val="20"/>
          <w:szCs w:val="20"/>
          <w:color w:val="auto"/>
        </w:rPr>
      </w:pPr>
    </w:p>
    <w:p>
      <w:pPr>
        <w:ind w:right="180" w:firstLine="588"/>
        <w:spacing w:after="0" w:line="247" w:lineRule="auto"/>
        <w:rPr>
          <w:sz w:val="20"/>
          <w:szCs w:val="20"/>
          <w:color w:val="auto"/>
        </w:rPr>
      </w:pPr>
      <w:r>
        <w:rPr>
          <w:rFonts w:ascii="Times New Roman" w:cs="Times New Roman" w:eastAsia="Times New Roman" w:hAnsi="Times New Roman"/>
          <w:sz w:val="16"/>
          <w:szCs w:val="16"/>
          <w:color w:val="auto"/>
        </w:rPr>
        <w:t>CVB is a holding company separate and apart from the Bank that must provide for its own liquidity and must service its own obligations.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5" w:name="page76"/>
    <w:bookmarkEnd w:id="75"/>
    <w:p>
      <w:pPr>
        <w:spacing w:after="0" w:line="137" w:lineRule="exact"/>
        <w:rPr>
          <w:sz w:val="20"/>
          <w:szCs w:val="20"/>
          <w:color w:val="auto"/>
        </w:rPr>
      </w:pPr>
    </w:p>
    <w:p>
      <w:pPr>
        <w:ind w:right="260" w:firstLine="600"/>
        <w:spacing w:after="0" w:line="259" w:lineRule="auto"/>
        <w:rPr>
          <w:sz w:val="20"/>
          <w:szCs w:val="20"/>
          <w:color w:val="auto"/>
        </w:rPr>
      </w:pPr>
      <w:r>
        <w:rPr>
          <w:rFonts w:ascii="Times New Roman" w:cs="Times New Roman" w:eastAsia="Times New Roman" w:hAnsi="Times New Roman"/>
          <w:sz w:val="16"/>
          <w:szCs w:val="16"/>
          <w:color w:val="auto"/>
        </w:rPr>
        <w:t>Below is a summary of our average cash position and statement of cash flows for the years ended December 31, 2024 and 2023. For further details, see our “</w:t>
      </w:r>
      <w:r>
        <w:rPr>
          <w:rFonts w:ascii="Times New Roman" w:cs="Times New Roman" w:eastAsia="Times New Roman" w:hAnsi="Times New Roman"/>
          <w:sz w:val="16"/>
          <w:szCs w:val="16"/>
          <w:i w:val="1"/>
          <w:iCs w:val="1"/>
          <w:color w:val="auto"/>
        </w:rPr>
        <w:t>Consolidated Statements of Cash Flows</w:t>
      </w:r>
      <w:r>
        <w:rPr>
          <w:rFonts w:ascii="Times New Roman" w:cs="Times New Roman" w:eastAsia="Times New Roman" w:hAnsi="Times New Roman"/>
          <w:sz w:val="16"/>
          <w:szCs w:val="16"/>
          <w:color w:val="auto"/>
        </w:rPr>
        <w:t>” under Part IV consolidated financial statements of this report.</w:t>
      </w:r>
    </w:p>
    <w:p>
      <w:pPr>
        <w:spacing w:after="0" w:line="117"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55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Consolidated Summary of Cash Flows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59"/>
        </w:trPr>
        <w:tc>
          <w:tcPr>
            <w:tcW w:w="4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0"/>
        </w:trPr>
        <w:tc>
          <w:tcPr>
            <w:tcW w:w="46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5"/>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b w:val="1"/>
                <w:bCs w:val="1"/>
                <w:color w:val="auto"/>
                <w:w w:val="93"/>
              </w:rPr>
              <w:t>2023</w:t>
            </w:r>
          </w:p>
        </w:tc>
        <w:tc>
          <w:tcPr>
            <w:tcW w:w="160" w:type="dxa"/>
            <w:vAlign w:val="bottom"/>
          </w:tcPr>
          <w:p>
            <w:pPr>
              <w:spacing w:after="0"/>
              <w:rPr>
                <w:sz w:val="15"/>
                <w:szCs w:val="15"/>
                <w:color w:val="auto"/>
              </w:rPr>
            </w:pPr>
          </w:p>
        </w:tc>
      </w:tr>
      <w:tr>
        <w:trPr>
          <w:trHeight w:val="195"/>
        </w:trPr>
        <w:tc>
          <w:tcPr>
            <w:tcW w:w="46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0"/>
        </w:trPr>
        <w:tc>
          <w:tcPr>
            <w:tcW w:w="460" w:type="dxa"/>
            <w:vAlign w:val="bottom"/>
          </w:tcPr>
          <w:p>
            <w:pPr>
              <w:spacing w:after="0"/>
              <w:rPr>
                <w:sz w:val="15"/>
                <w:szCs w:val="15"/>
                <w:color w:val="auto"/>
              </w:rPr>
            </w:pPr>
          </w:p>
        </w:tc>
        <w:tc>
          <w:tcPr>
            <w:tcW w:w="5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cash and cash equivalents</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870,326</w:t>
            </w:r>
          </w:p>
        </w:tc>
        <w:tc>
          <w:tcPr>
            <w:tcW w:w="58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495,146</w:t>
            </w:r>
          </w:p>
        </w:tc>
      </w:tr>
      <w:tr>
        <w:trPr>
          <w:trHeight w:val="180"/>
        </w:trPr>
        <w:tc>
          <w:tcPr>
            <w:tcW w:w="460" w:type="dxa"/>
            <w:vAlign w:val="bottom"/>
          </w:tcPr>
          <w:p>
            <w:pPr>
              <w:spacing w:after="0"/>
              <w:rPr>
                <w:sz w:val="15"/>
                <w:szCs w:val="15"/>
                <w:color w:val="auto"/>
              </w:rPr>
            </w:pPr>
          </w:p>
        </w:tc>
        <w:tc>
          <w:tcPr>
            <w:tcW w:w="5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Percentage of total average assets</w:t>
            </w:r>
          </w:p>
        </w:tc>
        <w:tc>
          <w:tcPr>
            <w:tcW w:w="340" w:type="dxa"/>
            <w:vAlign w:val="bottom"/>
          </w:tcPr>
          <w:p>
            <w:pPr>
              <w:spacing w:after="0"/>
              <w:rPr>
                <w:sz w:val="15"/>
                <w:szCs w:val="15"/>
                <w:color w:val="auto"/>
              </w:rPr>
            </w:pPr>
          </w:p>
        </w:tc>
        <w:tc>
          <w:tcPr>
            <w:tcW w:w="14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5.39%</w:t>
            </w:r>
          </w:p>
        </w:tc>
        <w:tc>
          <w:tcPr>
            <w:tcW w:w="580" w:type="dxa"/>
            <w:vAlign w:val="bottom"/>
          </w:tcPr>
          <w:p>
            <w:pPr>
              <w:spacing w:after="0"/>
              <w:rPr>
                <w:sz w:val="15"/>
                <w:szCs w:val="15"/>
                <w:color w:val="auto"/>
              </w:rPr>
            </w:pPr>
          </w:p>
        </w:tc>
        <w:tc>
          <w:tcPr>
            <w:tcW w:w="10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3.03%</w:t>
            </w:r>
          </w:p>
        </w:tc>
      </w:tr>
      <w:tr>
        <w:trPr>
          <w:trHeight w:val="180"/>
        </w:trPr>
        <w:tc>
          <w:tcPr>
            <w:tcW w:w="460" w:type="dxa"/>
            <w:vAlign w:val="bottom"/>
          </w:tcPr>
          <w:p>
            <w:pPr>
              <w:spacing w:after="0"/>
              <w:rPr>
                <w:sz w:val="15"/>
                <w:szCs w:val="15"/>
                <w:color w:val="auto"/>
              </w:rPr>
            </w:pPr>
          </w:p>
        </w:tc>
        <w:tc>
          <w:tcPr>
            <w:tcW w:w="5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249,765</w:t>
            </w:r>
          </w:p>
        </w:tc>
        <w:tc>
          <w:tcPr>
            <w:tcW w:w="58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295,632</w:t>
            </w:r>
          </w:p>
        </w:tc>
      </w:tr>
      <w:tr>
        <w:trPr>
          <w:trHeight w:val="180"/>
        </w:trPr>
        <w:tc>
          <w:tcPr>
            <w:tcW w:w="460" w:type="dxa"/>
            <w:vAlign w:val="bottom"/>
          </w:tcPr>
          <w:p>
            <w:pPr>
              <w:spacing w:after="0"/>
              <w:rPr>
                <w:sz w:val="15"/>
                <w:szCs w:val="15"/>
                <w:color w:val="auto"/>
              </w:rPr>
            </w:pPr>
          </w:p>
        </w:tc>
        <w:tc>
          <w:tcPr>
            <w:tcW w:w="5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cash provided by investing activities</w:t>
            </w:r>
          </w:p>
        </w:tc>
        <w:tc>
          <w:tcPr>
            <w:tcW w:w="340" w:type="dxa"/>
            <w:vAlign w:val="bottom"/>
          </w:tcPr>
          <w:p>
            <w:pPr>
              <w:spacing w:after="0"/>
              <w:rPr>
                <w:sz w:val="15"/>
                <w:szCs w:val="15"/>
                <w:color w:val="auto"/>
              </w:rPr>
            </w:pPr>
          </w:p>
        </w:tc>
        <w:tc>
          <w:tcPr>
            <w:tcW w:w="142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852,746</w:t>
            </w:r>
          </w:p>
        </w:tc>
        <w:tc>
          <w:tcPr>
            <w:tcW w:w="580" w:type="dxa"/>
            <w:vAlign w:val="bottom"/>
          </w:tcPr>
          <w:p>
            <w:pPr>
              <w:spacing w:after="0"/>
              <w:rPr>
                <w:sz w:val="15"/>
                <w:szCs w:val="15"/>
                <w:color w:val="auto"/>
              </w:rPr>
            </w:pPr>
          </w:p>
        </w:tc>
        <w:tc>
          <w:tcPr>
            <w:tcW w:w="10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536,276</w:t>
            </w:r>
          </w:p>
        </w:tc>
      </w:tr>
      <w:tr>
        <w:trPr>
          <w:trHeight w:val="180"/>
        </w:trPr>
        <w:tc>
          <w:tcPr>
            <w:tcW w:w="460" w:type="dxa"/>
            <w:vAlign w:val="bottom"/>
          </w:tcPr>
          <w:p>
            <w:pPr>
              <w:spacing w:after="0"/>
              <w:rPr>
                <w:sz w:val="15"/>
                <w:szCs w:val="15"/>
                <w:color w:val="auto"/>
              </w:rPr>
            </w:pPr>
          </w:p>
        </w:tc>
        <w:tc>
          <w:tcPr>
            <w:tcW w:w="5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(1,179,098)</w:t>
            </w:r>
          </w:p>
        </w:tc>
        <w:tc>
          <w:tcPr>
            <w:tcW w:w="5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(754,084)</w:t>
            </w:r>
          </w:p>
        </w:tc>
      </w:tr>
      <w:tr>
        <w:trPr>
          <w:trHeight w:val="180"/>
        </w:trPr>
        <w:tc>
          <w:tcPr>
            <w:tcW w:w="460" w:type="dxa"/>
            <w:vAlign w:val="bottom"/>
          </w:tcPr>
          <w:p>
            <w:pPr>
              <w:spacing w:after="0"/>
              <w:rPr>
                <w:sz w:val="15"/>
                <w:szCs w:val="15"/>
                <w:color w:val="auto"/>
              </w:rPr>
            </w:pPr>
          </w:p>
        </w:tc>
        <w:tc>
          <w:tcPr>
            <w:tcW w:w="50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40" w:type="dxa"/>
            <w:vAlign w:val="bottom"/>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1"/>
                <w:szCs w:val="11"/>
                <w:color w:val="auto"/>
              </w:rPr>
              <w:t>(76,587</w:t>
            </w:r>
            <w:r>
              <w:rPr>
                <w:rFonts w:ascii="Times New Roman" w:cs="Times New Roman" w:eastAsia="Times New Roman" w:hAnsi="Times New Roman"/>
                <w:sz w:val="18"/>
                <w:szCs w:val="18"/>
                <w:color w:val="auto"/>
                <w:vertAlign w:val="subscript"/>
              </w:rPr>
              <w:t>)</w:t>
            </w:r>
          </w:p>
        </w:tc>
        <w:tc>
          <w:tcPr>
            <w:tcW w:w="580" w:type="dxa"/>
            <w:vAlign w:val="bottom"/>
          </w:tcPr>
          <w:p>
            <w:pPr>
              <w:jc w:val="right"/>
              <w:ind w:right="40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77,824</w:t>
            </w:r>
          </w:p>
        </w:tc>
        <w:tc>
          <w:tcPr>
            <w:tcW w:w="16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600"/>
        <w:spacing w:after="0" w:line="259" w:lineRule="auto"/>
        <w:rPr>
          <w:sz w:val="20"/>
          <w:szCs w:val="20"/>
          <w:color w:val="auto"/>
        </w:rPr>
      </w:pPr>
      <w:r>
        <w:rPr>
          <w:rFonts w:ascii="Times New Roman" w:cs="Times New Roman" w:eastAsia="Times New Roman" w:hAnsi="Times New Roman"/>
          <w:sz w:val="16"/>
          <w:szCs w:val="16"/>
          <w:color w:val="auto"/>
        </w:rPr>
        <w:t>Average cash and cash equivalents increased by $375.2 million, or 75.77%, to $870.3 million for the year ended December 31, 2024, compared to $495.1 million for 2023.</w:t>
      </w:r>
    </w:p>
    <w:p>
      <w:pPr>
        <w:spacing w:after="0" w:line="119" w:lineRule="exact"/>
        <w:rPr>
          <w:sz w:val="20"/>
          <w:szCs w:val="20"/>
          <w:color w:val="auto"/>
        </w:rPr>
      </w:pPr>
    </w:p>
    <w:p>
      <w:pPr>
        <w:ind w:right="380" w:firstLine="588"/>
        <w:spacing w:after="0" w:line="259" w:lineRule="auto"/>
        <w:rPr>
          <w:sz w:val="20"/>
          <w:szCs w:val="20"/>
          <w:color w:val="auto"/>
        </w:rPr>
      </w:pPr>
      <w:r>
        <w:rPr>
          <w:rFonts w:ascii="Times New Roman" w:cs="Times New Roman" w:eastAsia="Times New Roman" w:hAnsi="Times New Roman"/>
          <w:sz w:val="16"/>
          <w:szCs w:val="16"/>
          <w:color w:val="auto"/>
        </w:rPr>
        <w:t>At December 31, 2024, cash and cash equivalents totaled $204.7 million. This represented a decrease of $76.6 million, or 27.23%, from $281.3 million at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Risk</w:t>
      </w:r>
    </w:p>
    <w:p>
      <w:pPr>
        <w:spacing w:after="0" w:line="156"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In the normal course of its business activities, we are exposed to market risks, including price and liquidity risk. Market risk is the potential for loss from adverse changes in market rates and prices, such as interest rates (interest rate risk) . Liquidity risk arises from the possibility that we may not be able to satisfy current or future commitments or that we may be more reliant on alternative funding sources such as long-term debt. Financial products that expose us to market risk include securities, loans, deposits, debt, and derivative financial instruments.</w:t>
      </w:r>
    </w:p>
    <w:p>
      <w:pPr>
        <w:spacing w:after="0" w:line="131"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The table below provides the actual balances as of December 31, 2024 of interest-earning assets and interest -bearing liabilities, including the average rate earned or incurred for 2024, the projected contractual maturities over the next five years, and the estimated fair value of each category determined using available market information and appropriate valuation methodologies.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vMerge w:val="restart"/>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w w:val="97"/>
              </w:rPr>
              <w:t>Maturing</w:t>
            </w:r>
          </w:p>
        </w:tc>
        <w:tc>
          <w:tcPr>
            <w:tcW w:w="100" w:type="dxa"/>
            <w:vAlign w:val="bottom"/>
          </w:tcPr>
          <w:p>
            <w:pPr>
              <w:spacing w:after="0"/>
              <w:rPr>
                <w:sz w:val="12"/>
                <w:szCs w:val="12"/>
                <w:color w:val="auto"/>
              </w:rPr>
            </w:pPr>
          </w:p>
        </w:tc>
        <w:tc>
          <w:tcPr>
            <w:tcW w:w="72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Five Years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Estimated Fair</w:t>
            </w: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92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Rate</w:t>
            </w:r>
          </w:p>
        </w:tc>
        <w:tc>
          <w:tcPr>
            <w:tcW w:w="120" w:type="dxa"/>
            <w:vAlign w:val="bottom"/>
          </w:tcPr>
          <w:p>
            <w:pPr>
              <w:spacing w:after="0"/>
              <w:rPr>
                <w:sz w:val="11"/>
                <w:szCs w:val="11"/>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One Year</w:t>
            </w:r>
          </w:p>
        </w:tc>
        <w:tc>
          <w:tcPr>
            <w:tcW w:w="140" w:type="dxa"/>
            <w:vAlign w:val="bottom"/>
          </w:tcPr>
          <w:p>
            <w:pPr>
              <w:spacing w:after="0"/>
              <w:rPr>
                <w:sz w:val="11"/>
                <w:szCs w:val="11"/>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Two Years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Three Years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 Years</w:t>
            </w:r>
          </w:p>
        </w:tc>
        <w:tc>
          <w:tcPr>
            <w:tcW w:w="100" w:type="dxa"/>
            <w:vAlign w:val="bottom"/>
          </w:tcPr>
          <w:p>
            <w:pPr>
              <w:spacing w:after="0"/>
              <w:rPr>
                <w:sz w:val="11"/>
                <w:szCs w:val="11"/>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and Beyond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6"/>
          </w:tcPr>
          <w:p>
            <w:pPr>
              <w:ind w:left="16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Interest-earning assets:</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0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7"/>
              </w:rPr>
              <w:t>Investment securities available-for-sale (1)</w:t>
            </w:r>
          </w:p>
        </w:tc>
        <w:tc>
          <w:tcPr>
            <w:tcW w:w="6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2,542,115</w:t>
            </w:r>
          </w:p>
        </w:tc>
        <w:tc>
          <w:tcPr>
            <w:tcW w:w="180" w:type="dxa"/>
            <w:vAlign w:val="bottom"/>
          </w:tcPr>
          <w:p>
            <w:pPr>
              <w:spacing w:after="0"/>
              <w:rPr>
                <w:sz w:val="11"/>
                <w:szCs w:val="11"/>
                <w:color w:val="auto"/>
              </w:rPr>
            </w:pP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2.99 %</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43,205</w:t>
            </w:r>
          </w:p>
        </w:tc>
        <w:tc>
          <w:tcPr>
            <w:tcW w:w="22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6,719</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24,186</w:t>
            </w:r>
          </w:p>
        </w:tc>
        <w:tc>
          <w:tcPr>
            <w:tcW w:w="20" w:type="dxa"/>
            <w:vAlign w:val="bottom"/>
          </w:tcPr>
          <w:p>
            <w:pPr>
              <w:spacing w:after="0"/>
              <w:rPr>
                <w:sz w:val="11"/>
                <w:szCs w:val="11"/>
                <w:color w:val="auto"/>
              </w:rPr>
            </w:pPr>
          </w:p>
        </w:tc>
        <w:tc>
          <w:tcPr>
            <w:tcW w:w="30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5,656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2,462,349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2,542,115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Investment securities held-to-maturity (1)</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2,379,668</w:t>
            </w: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2.27 %</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32,011</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9,496</w:t>
            </w:r>
          </w:p>
        </w:tc>
        <w:tc>
          <w:tcPr>
            <w:tcW w:w="18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5,092</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8,134</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2,324,935</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1,954,345</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in FHLB stock</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18,012</w:t>
            </w:r>
          </w:p>
        </w:tc>
        <w:tc>
          <w:tcPr>
            <w:tcW w:w="180" w:type="dxa"/>
            <w:vAlign w:val="bottom"/>
          </w:tcPr>
          <w:p>
            <w:pPr>
              <w:spacing w:after="0"/>
              <w:rPr>
                <w:sz w:val="11"/>
                <w:szCs w:val="11"/>
                <w:color w:val="auto"/>
              </w:rPr>
            </w:pP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8.61 %</w:t>
            </w:r>
          </w:p>
        </w:tc>
        <w:tc>
          <w:tcPr>
            <w:tcW w:w="12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w w:val="98"/>
              </w:rPr>
              <w:t>Interest-earning deposits due from Federal</w:t>
            </w:r>
          </w:p>
        </w:tc>
        <w:tc>
          <w:tcPr>
            <w:tcW w:w="62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Reserve</w:t>
            </w: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and with other institutions</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51,303</w:t>
            </w: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5.38 %</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51,303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51,303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Loans and lease finance receivables (2)</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8,536,432</w:t>
            </w:r>
          </w:p>
        </w:tc>
        <w:tc>
          <w:tcPr>
            <w:tcW w:w="180" w:type="dxa"/>
            <w:vAlign w:val="bottom"/>
          </w:tcPr>
          <w:p>
            <w:pPr>
              <w:spacing w:after="0"/>
              <w:rPr>
                <w:sz w:val="11"/>
                <w:szCs w:val="11"/>
                <w:color w:val="auto"/>
              </w:rPr>
            </w:pP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5.26 %</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1,073,126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507,270</w:t>
            </w:r>
          </w:p>
        </w:tc>
        <w:tc>
          <w:tcPr>
            <w:tcW w:w="18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669,177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681,502</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5,605,357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8,229,923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6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13,527,530</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1,199,645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523,485</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698,455</w:t>
            </w:r>
          </w:p>
        </w:tc>
        <w:tc>
          <w:tcPr>
            <w:tcW w:w="300" w:type="dxa"/>
            <w:vAlign w:val="bottom"/>
            <w:gridSpan w:val="2"/>
            <w:shd w:val="clear" w:color="auto" w:fill="CFF0FC"/>
          </w:tcPr>
          <w:p>
            <w:pPr>
              <w:jc w:val="center"/>
              <w:ind w:lef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695,292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10,410,653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12,795,698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00" w:type="dxa"/>
            <w:vAlign w:val="bottom"/>
            <w:tcBorders>
              <w:top w:val="single" w:sz="8" w:color="CFF0FC"/>
            </w:tcBorders>
          </w:tcPr>
          <w:p>
            <w:pPr>
              <w:ind w:left="20"/>
              <w:spacing w:after="0" w:line="109" w:lineRule="exact"/>
              <w:rPr>
                <w:sz w:val="20"/>
                <w:szCs w:val="20"/>
                <w:color w:val="auto"/>
              </w:rPr>
            </w:pPr>
            <w:r>
              <w:rPr>
                <w:rFonts w:ascii="Times New Roman" w:cs="Times New Roman" w:eastAsia="Times New Roman" w:hAnsi="Times New Roman"/>
                <w:sz w:val="11"/>
                <w:szCs w:val="11"/>
                <w:b w:val="1"/>
                <w:bCs w:val="1"/>
                <w:color w:val="auto"/>
              </w:rPr>
              <w:t>Interest-bearing liabilities:</w:t>
            </w:r>
          </w:p>
        </w:tc>
        <w:tc>
          <w:tcPr>
            <w:tcW w:w="5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9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Interest-bearing deposits</w:t>
            </w:r>
          </w:p>
        </w:tc>
        <w:tc>
          <w:tcPr>
            <w:tcW w:w="6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4,911,285</w:t>
            </w: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2.21 %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4,899,967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8,097</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1,695</w:t>
            </w:r>
          </w:p>
        </w:tc>
        <w:tc>
          <w:tcPr>
            <w:tcW w:w="300" w:type="dxa"/>
            <w:vAlign w:val="bottom"/>
            <w:gridSpan w:val="2"/>
            <w:shd w:val="clear" w:color="auto" w:fill="CFF0FC"/>
          </w:tcPr>
          <w:p>
            <w:pPr>
              <w:jc w:val="center"/>
              <w:ind w:left="1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704</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4,908,070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Borrowings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761,887</w:t>
            </w: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4.10 %</w:t>
            </w:r>
          </w:p>
        </w:tc>
        <w:tc>
          <w:tcPr>
            <w:tcW w:w="12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261,887</w:t>
            </w:r>
          </w:p>
        </w:tc>
        <w:tc>
          <w:tcPr>
            <w:tcW w:w="14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300,000</w:t>
            </w:r>
          </w:p>
        </w:tc>
        <w:tc>
          <w:tcPr>
            <w:tcW w:w="18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200,000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716,566</w:t>
            </w:r>
          </w:p>
        </w:tc>
        <w:tc>
          <w:tcPr>
            <w:tcW w:w="0" w:type="dxa"/>
            <w:vAlign w:val="bottom"/>
          </w:tcPr>
          <w:p>
            <w:pPr>
              <w:spacing w:after="0"/>
              <w:rPr>
                <w:sz w:val="1"/>
                <w:szCs w:val="1"/>
                <w:color w:val="auto"/>
              </w:rPr>
            </w:pPr>
          </w:p>
        </w:tc>
      </w:tr>
      <w:tr>
        <w:trPr>
          <w:trHeight w:val="172"/>
        </w:trPr>
        <w:tc>
          <w:tcPr>
            <w:tcW w:w="20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5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5,673,172</w:t>
            </w:r>
          </w:p>
        </w:tc>
        <w:tc>
          <w:tcPr>
            <w:tcW w:w="18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5,161,854</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308,097</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201,695</w:t>
            </w:r>
          </w:p>
        </w:tc>
        <w:tc>
          <w:tcPr>
            <w:tcW w:w="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704</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822</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5,624,636</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(1)These include mortgage-backed securities which generally prepay before maturity. Includes TE adjustments utilizing a federal statutory rate of 21%.</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(2)Gross loans, at amortized cost.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Sensitivity Management</w:t>
      </w:r>
    </w:p>
    <w:p>
      <w:pPr>
        <w:spacing w:after="0" w:line="156" w:lineRule="exact"/>
        <w:rPr>
          <w:sz w:val="20"/>
          <w:szCs w:val="20"/>
          <w:color w:val="auto"/>
        </w:rPr>
      </w:pPr>
    </w:p>
    <w:p>
      <w:pPr>
        <w:ind w:right="100" w:firstLine="588"/>
        <w:spacing w:after="0" w:line="259" w:lineRule="auto"/>
        <w:rPr>
          <w:sz w:val="20"/>
          <w:szCs w:val="20"/>
          <w:color w:val="auto"/>
        </w:rPr>
      </w:pPr>
      <w:r>
        <w:rPr>
          <w:rFonts w:ascii="Times New Roman" w:cs="Times New Roman" w:eastAsia="Times New Roman" w:hAnsi="Times New Roman"/>
          <w:sz w:val="16"/>
          <w:szCs w:val="16"/>
          <w:color w:val="auto"/>
        </w:rPr>
        <w:t>During periods of changing interest rates, the ability to re- price interest -earning assets and interest-bearing liabilities can influence net interest income, the net interest margin, and consequently, our earnings. Interest rate risk is managed by</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6" w:name="page77"/>
    <w:bookmarkEnd w:id="76"/>
    <w:p>
      <w:pPr>
        <w:spacing w:after="0" w:line="13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 -term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NII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34" w:lineRule="exact"/>
        <w:rPr>
          <w:sz w:val="20"/>
          <w:szCs w:val="20"/>
          <w:color w:val="auto"/>
        </w:rPr>
      </w:pPr>
    </w:p>
    <w:p>
      <w:pPr>
        <w:ind w:right="60" w:firstLine="588"/>
        <w:spacing w:after="0" w:line="280" w:lineRule="auto"/>
        <w:rPr>
          <w:sz w:val="20"/>
          <w:szCs w:val="20"/>
          <w:color w:val="auto"/>
        </w:rPr>
      </w:pPr>
      <w:r>
        <w:rPr>
          <w:rFonts w:ascii="Times New Roman" w:cs="Times New Roman" w:eastAsia="Times New Roman" w:hAnsi="Times New Roman"/>
          <w:sz w:val="14"/>
          <w:szCs w:val="14"/>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interest rate risk policy measures the sensitivity of our net interest income over both a one-year and two-year cumulative time horizon.</w:t>
      </w:r>
    </w:p>
    <w:p>
      <w:pPr>
        <w:spacing w:after="0" w:line="152" w:lineRule="exact"/>
        <w:rPr>
          <w:sz w:val="20"/>
          <w:szCs w:val="20"/>
          <w:color w:val="auto"/>
        </w:rPr>
      </w:pPr>
    </w:p>
    <w:p>
      <w:pPr>
        <w:ind w:right="80" w:firstLine="588"/>
        <w:spacing w:after="0" w:line="241" w:lineRule="auto"/>
        <w:rPr>
          <w:sz w:val="20"/>
          <w:szCs w:val="20"/>
          <w:color w:val="auto"/>
        </w:rPr>
      </w:pPr>
      <w:r>
        <w:rPr>
          <w:rFonts w:ascii="Times New Roman" w:cs="Times New Roman" w:eastAsia="Times New Roman" w:hAnsi="Times New Roman"/>
          <w:sz w:val="16"/>
          <w:szCs w:val="16"/>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 and two year horizon assuming no balance sheet growth, given a 200 basis point upward and a 200 basis point downward shift in interest rates depending on the level of current market rates. The simulation model uses a parallel yield curve shift that ramps rates up or down on a pro rata basis over 12-months and measures the resulting net interest income sensitivity over both the 12-month and 24-month time horizons.</w:t>
      </w:r>
    </w:p>
    <w:p>
      <w:pPr>
        <w:spacing w:after="0" w:line="133" w:lineRule="exact"/>
        <w:rPr>
          <w:sz w:val="20"/>
          <w:szCs w:val="20"/>
          <w:color w:val="auto"/>
        </w:rPr>
      </w:pPr>
    </w:p>
    <w:p>
      <w:pPr>
        <w:ind w:right="320" w:firstLine="600"/>
        <w:spacing w:after="0" w:line="259" w:lineRule="auto"/>
        <w:rPr>
          <w:sz w:val="20"/>
          <w:szCs w:val="20"/>
          <w:color w:val="auto"/>
        </w:rPr>
      </w:pPr>
      <w:r>
        <w:rPr>
          <w:rFonts w:ascii="Times New Roman" w:cs="Times New Roman" w:eastAsia="Times New Roman" w:hAnsi="Times New Roman"/>
          <w:sz w:val="16"/>
          <w:szCs w:val="16"/>
          <w:color w:val="auto"/>
        </w:rPr>
        <w:t>The following depicts the Company’s net interest income sensitivity analysis for the periods presented below, when rates are ramped up 200bps or ramped down 200bps over a 12-month time horizon.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800" w:type="dxa"/>
            <w:vAlign w:val="bottom"/>
            <w:gridSpan w:val="2"/>
          </w:tcPr>
          <w:p>
            <w:pPr>
              <w:ind w:left="1220"/>
              <w:spacing w:after="0"/>
              <w:rPr>
                <w:sz w:val="20"/>
                <w:szCs w:val="20"/>
                <w:color w:val="auto"/>
              </w:rPr>
            </w:pPr>
            <w:r>
              <w:rPr>
                <w:rFonts w:ascii="Times New Roman" w:cs="Times New Roman" w:eastAsia="Times New Roman" w:hAnsi="Times New Roman"/>
                <w:sz w:val="13"/>
                <w:szCs w:val="13"/>
                <w:b w:val="1"/>
                <w:bCs w:val="1"/>
                <w:color w:val="auto"/>
              </w:rPr>
              <w:t>Estimated Net Interest Income Sensitivity (1)</w:t>
            </w:r>
          </w:p>
        </w:tc>
        <w:tc>
          <w:tcPr>
            <w:tcW w:w="1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3560" w:type="dxa"/>
            <w:vAlign w:val="bottom"/>
            <w:gridSpan w:val="2"/>
          </w:tcPr>
          <w:p>
            <w:pPr>
              <w:jc w:val="right"/>
              <w:ind w:right="115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20" w:type="dxa"/>
            <w:vAlign w:val="bottom"/>
          </w:tcPr>
          <w:p>
            <w:pPr>
              <w:spacing w:after="0"/>
              <w:rPr>
                <w:sz w:val="13"/>
                <w:szCs w:val="13"/>
                <w:color w:val="auto"/>
              </w:rPr>
            </w:pPr>
          </w:p>
        </w:tc>
        <w:tc>
          <w:tcPr>
            <w:tcW w:w="3040" w:type="dxa"/>
            <w:vAlign w:val="bottom"/>
            <w:gridSpan w:val="3"/>
          </w:tcPr>
          <w:p>
            <w:pPr>
              <w:ind w:left="82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6"/>
        </w:trPr>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58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24-month Period</w:t>
            </w: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24-month Period</w:t>
            </w:r>
          </w:p>
        </w:tc>
      </w:tr>
      <w:tr>
        <w:trPr>
          <w:trHeight w:val="170"/>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Rate Scenario</w:t>
            </w:r>
          </w:p>
        </w:tc>
        <w:tc>
          <w:tcPr>
            <w:tcW w:w="198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12-month Period</w:t>
            </w:r>
          </w:p>
        </w:tc>
        <w:tc>
          <w:tcPr>
            <w:tcW w:w="158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(Cumulative)</w:t>
            </w:r>
          </w:p>
        </w:tc>
        <w:tc>
          <w:tcPr>
            <w:tcW w:w="222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Interest Rate Scenario</w:t>
            </w:r>
          </w:p>
        </w:tc>
        <w:tc>
          <w:tcPr>
            <w:tcW w:w="152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12-month Period</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(Cumulative)</w:t>
            </w:r>
          </w:p>
        </w:tc>
      </w:tr>
      <w:tr>
        <w:trPr>
          <w:trHeight w:val="156"/>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+ 200 basis points</w:t>
            </w:r>
          </w:p>
        </w:tc>
        <w:tc>
          <w:tcPr>
            <w:tcW w:w="19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4.66%</w:t>
            </w:r>
          </w:p>
        </w:tc>
        <w:tc>
          <w:tcPr>
            <w:tcW w:w="380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3"/>
                <w:szCs w:val="13"/>
                <w:color w:val="auto"/>
              </w:rPr>
              <w:t>6.26%  + 200 basis points</w:t>
            </w:r>
          </w:p>
        </w:tc>
        <w:tc>
          <w:tcPr>
            <w:tcW w:w="15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3.96%</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20" w:type="dxa"/>
            <w:vAlign w:val="bottom"/>
          </w:tcPr>
          <w:p>
            <w:pPr>
              <w:spacing w:after="0"/>
              <w:rPr>
                <w:sz w:val="13"/>
                <w:szCs w:val="13"/>
                <w:color w:val="auto"/>
              </w:rPr>
            </w:pPr>
          </w:p>
        </w:tc>
      </w:tr>
      <w:tr>
        <w:trPr>
          <w:trHeight w:val="172"/>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- 200 basis points</w:t>
            </w:r>
          </w:p>
        </w:tc>
        <w:tc>
          <w:tcPr>
            <w:tcW w:w="1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-3.63%</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2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- 200 basis points</w:t>
            </w:r>
          </w:p>
        </w:tc>
        <w:tc>
          <w:tcPr>
            <w:tcW w:w="15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-3.97%</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20" w:type="dxa"/>
            <w:vAlign w:val="bottom"/>
          </w:tcPr>
          <w:p>
            <w:pPr>
              <w:spacing w:after="0"/>
              <w:rPr>
                <w:sz w:val="14"/>
                <w:szCs w:val="14"/>
                <w:color w:val="auto"/>
              </w:rPr>
            </w:pPr>
          </w:p>
        </w:tc>
      </w:tr>
    </w:tbl>
    <w:p>
      <w:pPr>
        <w:spacing w:after="0" w:line="24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(1)Percentage change from base scenario.</w:t>
      </w:r>
    </w:p>
    <w:p>
      <w:pPr>
        <w:spacing w:after="0" w:line="161" w:lineRule="exact"/>
        <w:rPr>
          <w:sz w:val="20"/>
          <w:szCs w:val="20"/>
          <w:color w:val="auto"/>
        </w:rPr>
      </w:pPr>
    </w:p>
    <w:p>
      <w:pPr>
        <w:ind w:right="80" w:firstLine="600"/>
        <w:spacing w:after="0" w:line="239" w:lineRule="auto"/>
        <w:rPr>
          <w:sz w:val="20"/>
          <w:szCs w:val="20"/>
          <w:color w:val="auto"/>
        </w:rPr>
      </w:pPr>
      <w:r>
        <w:rPr>
          <w:rFonts w:ascii="Times New Roman" w:cs="Times New Roman" w:eastAsia="Times New Roman" w:hAnsi="Times New Roman"/>
          <w:sz w:val="16"/>
          <w:szCs w:val="16"/>
          <w:color w:val="auto"/>
        </w:rPr>
        <w:t>Based on our current simulation models, we believe that the interest rate risk profile of the balance sheet is modestly asset sensitive over both a one- 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w:t>
      </w:r>
    </w:p>
    <w:p>
      <w:pPr>
        <w:spacing w:after="0" w:line="137" w:lineRule="exact"/>
        <w:rPr>
          <w:sz w:val="20"/>
          <w:szCs w:val="20"/>
          <w:color w:val="auto"/>
        </w:rPr>
      </w:pPr>
    </w:p>
    <w:p>
      <w:pPr>
        <w:ind w:right="80" w:firstLine="588"/>
        <w:spacing w:after="0" w:line="239" w:lineRule="auto"/>
        <w:rPr>
          <w:sz w:val="20"/>
          <w:szCs w:val="20"/>
          <w:color w:val="auto"/>
        </w:rPr>
      </w:pPr>
      <w:r>
        <w:rPr>
          <w:rFonts w:ascii="Times New Roman" w:cs="Times New Roman" w:eastAsia="Times New Roman" w:hAnsi="Times New Roman"/>
          <w:sz w:val="16"/>
          <w:szCs w:val="16"/>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The EVE Ratio represents economic value of equity as a percentage of the discounted present value of all asset cash flows and derivative cash flows. Assumptions about the timing and variability of balance sheet cash</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7" w:name="page78"/>
    <w:bookmarkEnd w:id="77"/>
    <w:p>
      <w:pPr>
        <w:spacing w:after="0" w:line="1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flows are critical in the EVE analysis. Particularly important are the assumptions driving prepayments and the expected duration and pricing of the indeterminate deposit portfolios. EVE sensitivity is reported in both upward and downward rate shocks. At December 31, 2024, the EVE profile indicates a decline in the EVE Ratio value due to instantaneous downward changes in rates and a modest increase in the EVE Ratio under upward rate shocks. Compared to December 31, 2023, our EVE sensitivity to rising rates was modestly higher, as the EVE Ratio declined minimally at the end of 2023, while the decline in the EVE Ratio under declining rates was consistent across the two periods. Overall, our sensitivity of EVE to changes in interest rates is generally modest, with the exception of more meaningful decreases in the EVE Ratio if rates were to immediately decline by 300 or 400 basis points.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Value of Equity Sensitivity</w:t>
      </w:r>
    </w:p>
    <w:p>
      <w:pPr>
        <w:spacing w:after="0" w:line="238" w:lineRule="exact"/>
        <w:rPr>
          <w:sz w:val="20"/>
          <w:szCs w:val="20"/>
          <w:color w:val="auto"/>
        </w:rPr>
      </w:pPr>
    </w:p>
    <w:tbl>
      <w:tblPr>
        <w:tblLayout w:type="fixed"/>
        <w:tblInd w:w="1060" w:type="dxa"/>
        <w:tblCellMar>
          <w:top w:w="0" w:type="dxa"/>
          <w:left w:w="0" w:type="dxa"/>
          <w:bottom w:w="0" w:type="dxa"/>
          <w:right w:w="0" w:type="dxa"/>
        </w:tblCellMar>
      </w:tblPr>
      <w:tr>
        <w:trPr>
          <w:trHeight w:val="205"/>
        </w:trPr>
        <w:tc>
          <w:tcPr>
            <w:tcW w:w="5500" w:type="dxa"/>
            <w:vAlign w:val="bottom"/>
            <w:vMerge w:val="restart"/>
          </w:tcPr>
          <w:p>
            <w:pPr>
              <w:ind w:left="49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vMerge w:val="restart"/>
          </w:tcPr>
          <w:p>
            <w:pPr>
              <w:jc w:val="right"/>
              <w:ind w:right="9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70"/>
        </w:trPr>
        <w:tc>
          <w:tcPr>
            <w:tcW w:w="550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400 bp decrease in interest rates</w:t>
            </w:r>
          </w:p>
        </w:tc>
        <w:tc>
          <w:tcPr>
            <w:tcW w:w="1420" w:type="dxa"/>
            <w:vAlign w:val="bottom"/>
            <w:shd w:val="clear" w:color="auto" w:fill="CFF0FC"/>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15.7%</w:t>
            </w:r>
          </w:p>
        </w:tc>
        <w:tc>
          <w:tcPr>
            <w:tcW w:w="1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180"/>
        </w:trPr>
        <w:tc>
          <w:tcPr>
            <w:tcW w:w="5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300 bp decrease in interest rates</w:t>
            </w:r>
          </w:p>
        </w:tc>
        <w:tc>
          <w:tcPr>
            <w:tcW w:w="1420" w:type="dxa"/>
            <w:vAlign w:val="bottom"/>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180"/>
        </w:trPr>
        <w:tc>
          <w:tcPr>
            <w:tcW w:w="5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200 bp decrease in interest rates</w:t>
            </w:r>
          </w:p>
        </w:tc>
        <w:tc>
          <w:tcPr>
            <w:tcW w:w="1420" w:type="dxa"/>
            <w:vAlign w:val="bottom"/>
            <w:shd w:val="clear" w:color="auto" w:fill="CFF0FC"/>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1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80"/>
        </w:trPr>
        <w:tc>
          <w:tcPr>
            <w:tcW w:w="5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100 bp decrease in interest rates</w:t>
            </w:r>
          </w:p>
        </w:tc>
        <w:tc>
          <w:tcPr>
            <w:tcW w:w="1420" w:type="dxa"/>
            <w:vAlign w:val="bottom"/>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18.4%</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180"/>
        </w:trPr>
        <w:tc>
          <w:tcPr>
            <w:tcW w:w="5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Base</w:t>
            </w:r>
          </w:p>
        </w:tc>
        <w:tc>
          <w:tcPr>
            <w:tcW w:w="1420" w:type="dxa"/>
            <w:vAlign w:val="bottom"/>
            <w:shd w:val="clear" w:color="auto" w:fill="CFF0FC"/>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19.0%</w:t>
            </w:r>
          </w:p>
        </w:tc>
        <w:tc>
          <w:tcPr>
            <w:tcW w:w="1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180"/>
        </w:trPr>
        <w:tc>
          <w:tcPr>
            <w:tcW w:w="5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100 bp increase in interest rates</w:t>
            </w:r>
          </w:p>
        </w:tc>
        <w:tc>
          <w:tcPr>
            <w:tcW w:w="1420" w:type="dxa"/>
            <w:vAlign w:val="bottom"/>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312"/>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200 bp increase in interest rates</w:t>
            </w:r>
          </w:p>
        </w:tc>
        <w:tc>
          <w:tcPr>
            <w:tcW w:w="1420" w:type="dxa"/>
            <w:vAlign w:val="bottom"/>
            <w:shd w:val="clear" w:color="auto" w:fill="CFF0FC"/>
          </w:tcPr>
          <w:p>
            <w:pPr>
              <w:jc w:val="right"/>
              <w:ind w:right="642"/>
              <w:spacing w:after="0" w:line="312" w:lineRule="exact"/>
              <w:rPr>
                <w:sz w:val="20"/>
                <w:szCs w:val="20"/>
                <w:color w:val="auto"/>
              </w:rPr>
            </w:pPr>
            <w:r>
              <w:rPr>
                <w:rFonts w:ascii="Times New Roman" w:cs="Times New Roman" w:eastAsia="Times New Roman" w:hAnsi="Times New Roman"/>
                <w:sz w:val="16"/>
                <w:szCs w:val="16"/>
                <w:color w:val="auto"/>
              </w:rPr>
              <w:t>19.6</w:t>
            </w:r>
            <w:r>
              <w:rPr>
                <w:rFonts w:ascii="Times New Roman" w:cs="Times New Roman" w:eastAsia="Times New Roman" w:hAnsi="Times New Roman"/>
                <w:sz w:val="31"/>
                <w:szCs w:val="31"/>
                <w:color w:val="auto"/>
                <w:vertAlign w:val="superscript"/>
              </w:rPr>
              <w:t>%</w:t>
            </w:r>
          </w:p>
        </w:tc>
        <w:tc>
          <w:tcPr>
            <w:tcW w:w="1540" w:type="dxa"/>
            <w:vAlign w:val="bottom"/>
            <w:shd w:val="clear" w:color="auto" w:fill="CFF0FC"/>
          </w:tcPr>
          <w:p>
            <w:pPr>
              <w:jc w:val="right"/>
              <w:spacing w:after="0" w:line="312" w:lineRule="exact"/>
              <w:rPr>
                <w:sz w:val="20"/>
                <w:szCs w:val="20"/>
                <w:color w:val="auto"/>
              </w:rPr>
            </w:pPr>
            <w:r>
              <w:rPr>
                <w:rFonts w:ascii="Times New Roman" w:cs="Times New Roman" w:eastAsia="Times New Roman" w:hAnsi="Times New Roman"/>
                <w:sz w:val="16"/>
                <w:szCs w:val="16"/>
                <w:color w:val="auto"/>
              </w:rPr>
              <w:t>17.1</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180"/>
        </w:trPr>
        <w:tc>
          <w:tcPr>
            <w:tcW w:w="5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300 bp increase in interest rates</w:t>
            </w:r>
          </w:p>
        </w:tc>
        <w:tc>
          <w:tcPr>
            <w:tcW w:w="1420" w:type="dxa"/>
            <w:vAlign w:val="bottom"/>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180"/>
        </w:trPr>
        <w:tc>
          <w:tcPr>
            <w:tcW w:w="5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400 bp increase in interest rates</w:t>
            </w:r>
          </w:p>
        </w:tc>
        <w:tc>
          <w:tcPr>
            <w:tcW w:w="1420" w:type="dxa"/>
            <w:vAlign w:val="bottom"/>
            <w:shd w:val="clear" w:color="auto" w:fill="CFF0FC"/>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1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20" w:firstLine="600"/>
        <w:spacing w:after="0" w:line="243" w:lineRule="auto"/>
        <w:rPr>
          <w:sz w:val="20"/>
          <w:szCs w:val="20"/>
          <w:color w:val="auto"/>
        </w:rPr>
      </w:pPr>
      <w:r>
        <w:rPr>
          <w:rFonts w:ascii="Times New Roman" w:cs="Times New Roman" w:eastAsia="Times New Roman" w:hAnsi="Times New Roman"/>
          <w:sz w:val="16"/>
          <w:szCs w:val="16"/>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8" w:name="page79"/>
    <w:bookmarkEnd w:id="78"/>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Counterparty Risk</w:t>
      </w:r>
    </w:p>
    <w:p>
      <w:pPr>
        <w:spacing w:after="0" w:line="156" w:lineRule="exact"/>
        <w:rPr>
          <w:sz w:val="20"/>
          <w:szCs w:val="20"/>
          <w:color w:val="auto"/>
        </w:rPr>
      </w:pPr>
    </w:p>
    <w:p>
      <w:pPr>
        <w:ind w:right="80" w:firstLine="588"/>
        <w:spacing w:after="0" w:line="259" w:lineRule="auto"/>
        <w:rPr>
          <w:sz w:val="20"/>
          <w:szCs w:val="20"/>
          <w:color w:val="auto"/>
        </w:rPr>
      </w:pPr>
      <w:r>
        <w:rPr>
          <w:rFonts w:ascii="Times New Roman" w:cs="Times New Roman" w:eastAsia="Times New Roman" w:hAnsi="Times New Roman"/>
          <w:sz w:val="16"/>
          <w:szCs w:val="16"/>
          <w:color w:val="auto"/>
        </w:rPr>
        <w:t>Recent developments in the financial markets have placed an increased awareness of Counterparty Risks. These risks occur when a financial institution has an indebtedness or potential for indebtedness to another financial institution. We have assessed our Counterparty Risk with the following results:</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•We do not have any investments in the preferred stock of any other company;</w:t>
      </w:r>
    </w:p>
    <w:p>
      <w:pPr>
        <w:spacing w:after="0" w:line="14" w:lineRule="exact"/>
        <w:rPr>
          <w:sz w:val="20"/>
          <w:szCs w:val="20"/>
          <w:color w:val="auto"/>
        </w:rPr>
      </w:pPr>
    </w:p>
    <w:p>
      <w:pPr>
        <w:ind w:left="1080" w:right="120"/>
        <w:spacing w:after="0" w:line="234" w:lineRule="auto"/>
        <w:rPr>
          <w:sz w:val="20"/>
          <w:szCs w:val="20"/>
          <w:color w:val="auto"/>
        </w:rPr>
      </w:pPr>
      <w:r>
        <w:rPr>
          <w:rFonts w:ascii="Times New Roman" w:cs="Times New Roman" w:eastAsia="Times New Roman" w:hAnsi="Times New Roman"/>
          <w:sz w:val="16"/>
          <w:szCs w:val="16"/>
          <w:color w:val="auto"/>
        </w:rPr>
        <w:t>•Most of our investment securities are either municipal securities or securities either issued or guaranteed by government, agencies, including FNMA, FHLMC, GNMA, SBA or FHLB;</w:t>
      </w:r>
    </w:p>
    <w:p>
      <w:pPr>
        <w:ind w:left="1080"/>
        <w:spacing w:after="0" w:line="236" w:lineRule="auto"/>
        <w:rPr>
          <w:sz w:val="20"/>
          <w:szCs w:val="20"/>
          <w:color w:val="auto"/>
        </w:rPr>
      </w:pPr>
      <w:r>
        <w:rPr>
          <w:rFonts w:ascii="Times New Roman" w:cs="Times New Roman" w:eastAsia="Times New Roman" w:hAnsi="Times New Roman"/>
          <w:sz w:val="16"/>
          <w:szCs w:val="16"/>
          <w:color w:val="auto"/>
        </w:rPr>
        <w:t>•All of our commercial line insurance policies are with companies with the highest AM Best ratings of A or above;</w:t>
      </w:r>
    </w:p>
    <w:p>
      <w:pPr>
        <w:ind w:left="1080"/>
        <w:spacing w:after="0" w:line="234" w:lineRule="auto"/>
        <w:rPr>
          <w:sz w:val="20"/>
          <w:szCs w:val="20"/>
          <w:color w:val="auto"/>
        </w:rPr>
      </w:pPr>
      <w:r>
        <w:rPr>
          <w:rFonts w:ascii="Times New Roman" w:cs="Times New Roman" w:eastAsia="Times New Roman" w:hAnsi="Times New Roman"/>
          <w:sz w:val="16"/>
          <w:szCs w:val="16"/>
          <w:color w:val="auto"/>
        </w:rPr>
        <w:t>•We have no significant exposure to our Cash Surrender Value of Life Insurance since the Cash Surrender Value balance is predominately supported by insurance companies that carry an AM Best rating of A or greater;</w:t>
      </w:r>
    </w:p>
    <w:p>
      <w:pPr>
        <w:spacing w:after="0" w:line="1" w:lineRule="exact"/>
        <w:rPr>
          <w:sz w:val="20"/>
          <w:szCs w:val="20"/>
          <w:color w:val="auto"/>
        </w:rPr>
      </w:pPr>
    </w:p>
    <w:p>
      <w:pPr>
        <w:ind w:left="1080" w:right="60"/>
        <w:spacing w:after="0" w:line="272" w:lineRule="auto"/>
        <w:rPr>
          <w:sz w:val="20"/>
          <w:szCs w:val="20"/>
          <w:color w:val="auto"/>
        </w:rPr>
      </w:pPr>
      <w:r>
        <w:rPr>
          <w:rFonts w:ascii="Times New Roman" w:cs="Times New Roman" w:eastAsia="Times New Roman" w:hAnsi="Times New Roman"/>
          <w:sz w:val="14"/>
          <w:szCs w:val="14"/>
          <w:color w:val="auto"/>
        </w:rPr>
        <w:t>•We have no significant Counterparty exposure related to our derivatives not designated as hedging instruments such as interest rate swaps. Our Counterparty is a major financial institution and our agreement requires the Counterparty to post cash collateral for mark-to-market balances due to us;</w:t>
      </w:r>
    </w:p>
    <w:p>
      <w:pPr>
        <w:spacing w:after="0" w:line="1" w:lineRule="exact"/>
        <w:rPr>
          <w:sz w:val="20"/>
          <w:szCs w:val="20"/>
          <w:color w:val="auto"/>
        </w:rPr>
      </w:pPr>
    </w:p>
    <w:p>
      <w:pPr>
        <w:ind w:left="1080" w:right="20"/>
        <w:spacing w:after="0" w:line="246" w:lineRule="auto"/>
        <w:rPr>
          <w:sz w:val="20"/>
          <w:szCs w:val="20"/>
          <w:color w:val="auto"/>
        </w:rPr>
      </w:pPr>
      <w:r>
        <w:rPr>
          <w:rFonts w:ascii="Times New Roman" w:cs="Times New Roman" w:eastAsia="Times New Roman" w:hAnsi="Times New Roman"/>
          <w:sz w:val="16"/>
          <w:szCs w:val="16"/>
          <w:color w:val="auto"/>
        </w:rPr>
        <w:t>•We believe our risk of loss associated with our counterparty borrowers related to interest rate swaps not designated as hedging instruments is generally mitigated as the loans with swaps are underwritten to take into account potential additional exposure;</w:t>
      </w:r>
    </w:p>
    <w:p>
      <w:pPr>
        <w:spacing w:after="0" w:line="1" w:lineRule="exact"/>
        <w:rPr>
          <w:sz w:val="20"/>
          <w:szCs w:val="20"/>
          <w:color w:val="auto"/>
        </w:rPr>
      </w:pPr>
    </w:p>
    <w:p>
      <w:pPr>
        <w:ind w:left="1080" w:right="20"/>
        <w:spacing w:after="0" w:line="268" w:lineRule="auto"/>
        <w:rPr>
          <w:sz w:val="20"/>
          <w:szCs w:val="20"/>
          <w:color w:val="auto"/>
        </w:rPr>
      </w:pPr>
      <w:r>
        <w:rPr>
          <w:rFonts w:ascii="Times New Roman" w:cs="Times New Roman" w:eastAsia="Times New Roman" w:hAnsi="Times New Roman"/>
          <w:sz w:val="14"/>
          <w:szCs w:val="14"/>
          <w:color w:val="auto"/>
        </w:rPr>
        <w:t>•To manage interest rate risk on our AFS securities portfolio, we have entered into pay-fixed, receive-floating interest rate swap contracts to hedge against exposure to changes in the fair value of such securities resulting from changes in interest rates. These interest rate swap contracts are designated as fair value hedges. Reforms mandated by the Dodd-Frank Act require certain types of derivatives (e.g., interest rate swaps, credit default swaps) to be processed through designated electronic trading platforms and cleared through registered clearing houses. Centrally -cleared derivatives are negotiated between the counterparties but contain standardized terms and are traded through a central clearing house. Because the derivative counterparties are required to post collateral to satisfy the mandatory margin requirements, the counterparties are not subject to counterparty credit risk;</w:t>
      </w:r>
    </w:p>
    <w:p>
      <w:pPr>
        <w:spacing w:after="0" w:line="2" w:lineRule="exact"/>
        <w:rPr>
          <w:sz w:val="20"/>
          <w:szCs w:val="20"/>
          <w:color w:val="auto"/>
        </w:rPr>
      </w:pPr>
    </w:p>
    <w:p>
      <w:pPr>
        <w:ind w:left="1080" w:right="400"/>
        <w:spacing w:after="0" w:line="234" w:lineRule="auto"/>
        <w:rPr>
          <w:sz w:val="20"/>
          <w:szCs w:val="20"/>
          <w:color w:val="auto"/>
        </w:rPr>
      </w:pPr>
      <w:r>
        <w:rPr>
          <w:rFonts w:ascii="Times New Roman" w:cs="Times New Roman" w:eastAsia="Times New Roman" w:hAnsi="Times New Roman"/>
          <w:sz w:val="16"/>
          <w:szCs w:val="16"/>
          <w:color w:val="auto"/>
        </w:rPr>
        <w:t>•As of December 31, 2024, we had $305.0 million in Fed Funds lines of credit with other major U.S. banks. These lines of credit are available for overnight borrowings; and</w:t>
      </w:r>
    </w:p>
    <w:p>
      <w:pPr>
        <w:spacing w:after="0" w:line="1" w:lineRule="exact"/>
        <w:rPr>
          <w:sz w:val="20"/>
          <w:szCs w:val="20"/>
          <w:color w:val="auto"/>
        </w:rPr>
      </w:pPr>
    </w:p>
    <w:p>
      <w:pPr>
        <w:ind w:left="1080" w:right="240"/>
        <w:spacing w:after="0" w:line="238" w:lineRule="auto"/>
        <w:rPr>
          <w:sz w:val="20"/>
          <w:szCs w:val="20"/>
          <w:color w:val="auto"/>
        </w:rPr>
      </w:pPr>
      <w:r>
        <w:rPr>
          <w:rFonts w:ascii="Times New Roman" w:cs="Times New Roman" w:eastAsia="Times New Roman" w:hAnsi="Times New Roman"/>
          <w:sz w:val="16"/>
          <w:szCs w:val="16"/>
          <w:color w:val="auto"/>
        </w:rPr>
        <w:t>•At December 31, 2024, we had $0.50 billion in borrowings with the FHLB. Our secured borrowing capacity with the FHLB and FRB totaled $5.73 billion, of which $5.23 billion was available as of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Price and Foreign Exchange Risk</w:t>
      </w:r>
    </w:p>
    <w:p>
      <w:pPr>
        <w:spacing w:after="0" w:line="156" w:lineRule="exact"/>
        <w:rPr>
          <w:sz w:val="20"/>
          <w:szCs w:val="20"/>
          <w:color w:val="auto"/>
        </w:rPr>
      </w:pPr>
    </w:p>
    <w:p>
      <w:pPr>
        <w:ind w:right="100" w:firstLine="588"/>
        <w:spacing w:after="0" w:line="259" w:lineRule="auto"/>
        <w:rPr>
          <w:sz w:val="20"/>
          <w:szCs w:val="20"/>
          <w:color w:val="auto"/>
        </w:rPr>
      </w:pPr>
      <w:r>
        <w:rPr>
          <w:rFonts w:ascii="Times New Roman" w:cs="Times New Roman" w:eastAsia="Times New Roman" w:hAnsi="Times New Roman"/>
          <w:sz w:val="16"/>
          <w:szCs w:val="16"/>
          <w:color w:val="auto"/>
        </w:rPr>
        <w:t>Price risk arises from changes in market factors that affect the value of traded instruments. Foreign exchange risk is the risk to earnings or capital arising from movements in foreign exchange rates.</w:t>
      </w:r>
    </w:p>
    <w:p>
      <w:pPr>
        <w:spacing w:after="0" w:line="119" w:lineRule="exact"/>
        <w:rPr>
          <w:sz w:val="20"/>
          <w:szCs w:val="20"/>
          <w:color w:val="auto"/>
        </w:rPr>
      </w:pPr>
    </w:p>
    <w:p>
      <w:pPr>
        <w:ind w:right="100" w:firstLine="588"/>
        <w:spacing w:after="0" w:line="259" w:lineRule="auto"/>
        <w:rPr>
          <w:sz w:val="20"/>
          <w:szCs w:val="20"/>
          <w:color w:val="auto"/>
        </w:rPr>
      </w:pPr>
      <w:r>
        <w:rPr>
          <w:rFonts w:ascii="Times New Roman" w:cs="Times New Roman" w:eastAsia="Times New Roman" w:hAnsi="Times New Roman"/>
          <w:sz w:val="16"/>
          <w:szCs w:val="16"/>
          <w:color w:val="auto"/>
        </w:rPr>
        <w:t>Our current exposure to price risk is nominal. We do not have trading accounts. Consequently, the level of price risk within the investment portfolio is limited to the need to sell securities for reasons other than trading.</w:t>
      </w:r>
    </w:p>
    <w:p>
      <w:pPr>
        <w:spacing w:after="0" w:line="119" w:lineRule="exact"/>
        <w:rPr>
          <w:sz w:val="20"/>
          <w:szCs w:val="20"/>
          <w:color w:val="auto"/>
        </w:rPr>
      </w:pPr>
    </w:p>
    <w:p>
      <w:pPr>
        <w:ind w:right="440" w:firstLine="588"/>
        <w:spacing w:after="0" w:line="259" w:lineRule="auto"/>
        <w:rPr>
          <w:sz w:val="20"/>
          <w:szCs w:val="20"/>
          <w:color w:val="auto"/>
        </w:rPr>
      </w:pPr>
      <w:r>
        <w:rPr>
          <w:rFonts w:ascii="Times New Roman" w:cs="Times New Roman" w:eastAsia="Times New Roman" w:hAnsi="Times New Roman"/>
          <w:sz w:val="16"/>
          <w:szCs w:val="16"/>
          <w:color w:val="auto"/>
        </w:rPr>
        <w:t>We maintain limited deposit accounts with various foreign banks. Our Interbank Liability Policy seeks to limit the balance in any of these accounts to an amount that does not in our judgment present a significant risk to our earnings from changes in the value of foreign currencies.</w:t>
      </w:r>
    </w:p>
    <w:p>
      <w:pPr>
        <w:spacing w:after="0" w:line="119" w:lineRule="exact"/>
        <w:rPr>
          <w:sz w:val="20"/>
          <w:szCs w:val="20"/>
          <w:color w:val="auto"/>
        </w:rPr>
      </w:pPr>
    </w:p>
    <w:p>
      <w:pPr>
        <w:ind w:right="260" w:firstLine="588"/>
        <w:spacing w:after="0" w:line="331" w:lineRule="auto"/>
        <w:rPr>
          <w:sz w:val="20"/>
          <w:szCs w:val="20"/>
          <w:color w:val="auto"/>
        </w:rPr>
      </w:pPr>
      <w:r>
        <w:rPr>
          <w:rFonts w:ascii="Times New Roman" w:cs="Times New Roman" w:eastAsia="Times New Roman" w:hAnsi="Times New Roman"/>
          <w:sz w:val="14"/>
          <w:szCs w:val="14"/>
          <w:color w:val="auto"/>
        </w:rPr>
        <w:t>Our asset liability model seeks to calculate the market value of the Bank’s equity. In addition, management prepares, on a monthly basis, a capital volatility report that compares changes in the market value of the investment portfolio. We have as our target to always be well-capitalized by regulatory standards.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9" w:name="page80"/>
    <w:bookmarkEnd w:id="79"/>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7A. </w:t>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 xml:space="preserve">Market risk is the risk of loss from adverse changes in the market prices and interest rates. Our market risk arises primarily from interest rate risk inherent in our lending and deposit taking activities. We do not currently have futures, forwards, or option contracts. As a result of the phase out of LIBOR, our interest rate swap derivatives and the associated loans that were indexed to LIBOR, have been replaced with one month CME Term SOFR. All remaining financial instruments indexed to LIBOR have been transitioned to a replacement index, as of June 30, 2023. For further quantitative and qualitative disclosures about market risks in our portfolio, see “Asset/Liability Management and Interest Rate Sensitivity Management” included in Item 7 — </w:t>
      </w:r>
      <w:r>
        <w:rPr>
          <w:rFonts w:ascii="Times New Roman" w:cs="Times New Roman" w:eastAsia="Times New Roman" w:hAnsi="Times New Roman"/>
          <w:sz w:val="16"/>
          <w:szCs w:val="16"/>
          <w:i w:val="1"/>
          <w:iCs w:val="1"/>
          <w:color w:val="auto"/>
        </w:rPr>
        <w:t>Management’s Discussion and Analysis of Financial Condition and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Results of Operations </w:t>
      </w:r>
      <w:r>
        <w:rPr>
          <w:rFonts w:ascii="Times New Roman" w:cs="Times New Roman" w:eastAsia="Times New Roman" w:hAnsi="Times New Roman"/>
          <w:sz w:val="16"/>
          <w:szCs w:val="16"/>
          <w:color w:val="auto"/>
        </w:rPr>
        <w:t>presented elsewhere in this report. Our analysis of market risk and market-sensitive financial information contain forward looking statements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subject to the disclosure at the beginning of Part I regarding such forward-looking information.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0" w:name="page81"/>
    <w:bookmarkEnd w:id="80"/>
    <w:tbl>
      <w:tblPr>
        <w:tblLayout w:type="fixed"/>
        <w:tblInd w:w="8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652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FINANCIAL STATEMENTS AND SUPPLEMENTARY DATA</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7"/>
              </w:rPr>
              <w:t>CVB Financial Corp.</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700" w:type="dxa"/>
            <w:vAlign w:val="bottom"/>
            <w:gridSpan w:val="4"/>
          </w:tcPr>
          <w:p>
            <w:pPr>
              <w:jc w:val="center"/>
              <w:ind w:right="5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Index to Consolidated Financial Statements</w:t>
            </w:r>
          </w:p>
        </w:tc>
        <w:tc>
          <w:tcPr>
            <w:tcW w:w="3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7"/>
              </w:rPr>
              <w:t>and Financial Statement Schedules</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0"/>
        </w:trPr>
        <w:tc>
          <w:tcPr>
            <w:tcW w:w="20" w:type="dxa"/>
            <w:vAlign w:val="bottom"/>
          </w:tcPr>
          <w:p>
            <w:pPr>
              <w:spacing w:after="0"/>
              <w:rPr>
                <w:sz w:val="24"/>
                <w:szCs w:val="24"/>
                <w:color w:val="auto"/>
              </w:rPr>
            </w:pPr>
          </w:p>
        </w:tc>
        <w:tc>
          <w:tcPr>
            <w:tcW w:w="74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auto"/>
              </w:rPr>
              <w:t>Consolidated Financial Statements</w:t>
            </w:r>
          </w:p>
        </w:tc>
        <w:tc>
          <w:tcPr>
            <w:tcW w:w="3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0" w:type="dxa"/>
            <w:vAlign w:val="bottom"/>
            <w:gridSpan w:val="7"/>
            <w:vMerge w:val="continue"/>
          </w:tcPr>
          <w:p>
            <w:pPr>
              <w:spacing w:after="0"/>
              <w:rPr>
                <w:sz w:val="13"/>
                <w:szCs w:val="13"/>
                <w:color w:val="auto"/>
              </w:rPr>
            </w:pP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0" w:type="dxa"/>
            <w:vAlign w:val="bottom"/>
            <w:gridSpan w:val="7"/>
          </w:tcPr>
          <w:p>
            <w:pPr>
              <w:spacing w:after="0" w:line="169" w:lineRule="exact"/>
              <w:rPr>
                <w:rFonts w:ascii="Times New Roman" w:cs="Times New Roman" w:eastAsia="Times New Roman" w:hAnsi="Times New Roman"/>
                <w:sz w:val="16"/>
                <w:szCs w:val="16"/>
                <w:color w:val="0000FF"/>
              </w:rPr>
            </w:pPr>
            <w:hyperlink w:anchor="page90">
              <w:r>
                <w:rPr>
                  <w:rFonts w:ascii="Times New Roman" w:cs="Times New Roman" w:eastAsia="Times New Roman" w:hAnsi="Times New Roman"/>
                  <w:sz w:val="16"/>
                  <w:szCs w:val="16"/>
                  <w:color w:val="0000FF"/>
                </w:rPr>
                <w:t>Consolidated Balance Sheets — December 31, 2024 and 2023</w:t>
              </w:r>
            </w:hyperlink>
          </w:p>
        </w:tc>
        <w:tc>
          <w:tcPr>
            <w:tcW w:w="31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400" w:type="dxa"/>
            <w:vAlign w:val="bottom"/>
            <w:tcBorders>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w:anchor="page91">
              <w:r>
                <w:rPr>
                  <w:rFonts w:ascii="Times New Roman" w:cs="Times New Roman" w:eastAsia="Times New Roman" w:hAnsi="Times New Roman"/>
                  <w:sz w:val="16"/>
                  <w:szCs w:val="16"/>
                  <w:color w:val="0000FF"/>
                  <w:w w:val="97"/>
                </w:rPr>
                <w:t>Consolidated Statements of Earnings and Comprehensive Income — Years Ended December 31, 2024, 2023 and 2022</w:t>
              </w:r>
            </w:hyperlink>
          </w:p>
        </w:tc>
        <w:tc>
          <w:tcPr>
            <w:tcW w:w="3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0" w:type="dxa"/>
            <w:vAlign w:val="bottom"/>
            <w:gridSpan w:val="7"/>
          </w:tcPr>
          <w:p>
            <w:pPr>
              <w:spacing w:after="0" w:line="160" w:lineRule="exact"/>
              <w:rPr>
                <w:rFonts w:ascii="Times New Roman" w:cs="Times New Roman" w:eastAsia="Times New Roman" w:hAnsi="Times New Roman"/>
                <w:sz w:val="16"/>
                <w:szCs w:val="16"/>
                <w:color w:val="0000FF"/>
              </w:rPr>
            </w:pPr>
            <w:hyperlink w:anchor="page92">
              <w:r>
                <w:rPr>
                  <w:rFonts w:ascii="Times New Roman" w:cs="Times New Roman" w:eastAsia="Times New Roman" w:hAnsi="Times New Roman"/>
                  <w:sz w:val="16"/>
                  <w:szCs w:val="16"/>
                  <w:color w:val="0000FF"/>
                </w:rPr>
                <w:t>Consolidated Statements of Stockholders’ Equity — Three Years Ended December 31, 2024, 2023 and 2022</w:t>
              </w:r>
            </w:hyperlink>
          </w:p>
        </w:tc>
        <w:tc>
          <w:tcPr>
            <w:tcW w:w="31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8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FF"/>
              </w:rPr>
            </w:pPr>
            <w:hyperlink w:anchor="page93">
              <w:r>
                <w:rPr>
                  <w:rFonts w:ascii="Times New Roman" w:cs="Times New Roman" w:eastAsia="Times New Roman" w:hAnsi="Times New Roman"/>
                  <w:sz w:val="16"/>
                  <w:szCs w:val="16"/>
                  <w:color w:val="0000FF"/>
                </w:rPr>
                <w:t>Consolidated Statements of Cash Flows — Years Ended December 31, 2024, 2023 and 2022</w:t>
              </w:r>
            </w:hyperlink>
          </w:p>
        </w:tc>
        <w:tc>
          <w:tcPr>
            <w:tcW w:w="620" w:type="dxa"/>
            <w:vAlign w:val="bottom"/>
          </w:tcPr>
          <w:p>
            <w:pPr>
              <w:spacing w:after="0"/>
              <w:rPr>
                <w:sz w:val="13"/>
                <w:szCs w:val="13"/>
                <w:color w:val="auto"/>
              </w:rPr>
            </w:pPr>
          </w:p>
        </w:tc>
        <w:tc>
          <w:tcPr>
            <w:tcW w:w="31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8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rPr>
            </w:pPr>
            <w:hyperlink w:anchor="page95">
              <w:r>
                <w:rPr>
                  <w:rFonts w:ascii="Times New Roman" w:cs="Times New Roman" w:eastAsia="Times New Roman" w:hAnsi="Times New Roman"/>
                  <w:sz w:val="16"/>
                  <w:szCs w:val="16"/>
                  <w:color w:val="0000FF"/>
                </w:rPr>
                <w:t>Notes to Consolidated Financial Statements</w:t>
              </w:r>
            </w:hyperlink>
          </w:p>
        </w:tc>
        <w:tc>
          <w:tcPr>
            <w:tcW w:w="1620" w:type="dxa"/>
            <w:vAlign w:val="bottom"/>
            <w:gridSpan w:val="2"/>
          </w:tcPr>
          <w:p>
            <w:pPr>
              <w:spacing w:after="0"/>
              <w:rPr>
                <w:sz w:val="13"/>
                <w:szCs w:val="13"/>
                <w:color w:val="auto"/>
              </w:rPr>
            </w:pPr>
          </w:p>
        </w:tc>
        <w:tc>
          <w:tcPr>
            <w:tcW w:w="31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2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rPr>
            </w:pPr>
            <w:hyperlink w:anchor="page146">
              <w:r>
                <w:rPr>
                  <w:rFonts w:ascii="Times New Roman" w:cs="Times New Roman" w:eastAsia="Times New Roman" w:hAnsi="Times New Roman"/>
                  <w:sz w:val="16"/>
                  <w:szCs w:val="16"/>
                  <w:color w:val="0000FF"/>
                </w:rPr>
                <w:t>Report of Independent Registered Public</w:t>
              </w:r>
            </w:hyperlink>
          </w:p>
        </w:tc>
        <w:tc>
          <w:tcPr>
            <w:tcW w:w="980" w:type="dxa"/>
            <w:vAlign w:val="bottom"/>
            <w:tcBorders>
              <w:bottom w:val="single" w:sz="8" w:color="0000EE"/>
            </w:tcBorders>
          </w:tcPr>
          <w:p>
            <w:pPr>
              <w:spacing w:after="0" w:line="160" w:lineRule="exact"/>
              <w:rPr>
                <w:rFonts w:ascii="Times New Roman" w:cs="Times New Roman" w:eastAsia="Times New Roman" w:hAnsi="Times New Roman"/>
                <w:sz w:val="16"/>
                <w:szCs w:val="16"/>
                <w:color w:val="0000FF"/>
                <w:w w:val="87"/>
              </w:rPr>
            </w:pPr>
            <w:hyperlink w:anchor="page146">
              <w:r>
                <w:rPr>
                  <w:rFonts w:ascii="Times New Roman" w:cs="Times New Roman" w:eastAsia="Times New Roman" w:hAnsi="Times New Roman"/>
                  <w:sz w:val="16"/>
                  <w:szCs w:val="16"/>
                  <w:color w:val="0000FF"/>
                  <w:w w:val="87"/>
                </w:rPr>
                <w:t>Accounting Firm</w:t>
              </w:r>
            </w:hyperlink>
          </w:p>
        </w:tc>
        <w:tc>
          <w:tcPr>
            <w:tcW w:w="3700" w:type="dxa"/>
            <w:vAlign w:val="bottom"/>
            <w:gridSpan w:val="4"/>
          </w:tcPr>
          <w:p>
            <w:pPr>
              <w:spacing w:after="0"/>
              <w:rPr>
                <w:sz w:val="13"/>
                <w:szCs w:val="13"/>
                <w:color w:val="auto"/>
              </w:rPr>
            </w:pPr>
          </w:p>
        </w:tc>
        <w:tc>
          <w:tcPr>
            <w:tcW w:w="31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All schedules are omitted because they are not applicable, not material or because the information is included in the financial statements or the notes thereto.</w:t>
      </w:r>
    </w:p>
    <w:p>
      <w:pPr>
        <w:spacing w:after="0" w:line="115" w:lineRule="exact"/>
        <w:rPr>
          <w:sz w:val="20"/>
          <w:szCs w:val="20"/>
          <w:color w:val="auto"/>
        </w:rPr>
      </w:pPr>
    </w:p>
    <w:p>
      <w:pPr>
        <w:ind w:left="80" w:right="60" w:firstLine="588"/>
        <w:spacing w:after="0" w:line="259" w:lineRule="auto"/>
        <w:rPr>
          <w:sz w:val="20"/>
          <w:szCs w:val="20"/>
          <w:color w:val="auto"/>
        </w:rPr>
      </w:pPr>
      <w:r>
        <w:rPr>
          <w:rFonts w:ascii="Times New Roman" w:cs="Times New Roman" w:eastAsia="Times New Roman" w:hAnsi="Times New Roman"/>
          <w:sz w:val="16"/>
          <w:szCs w:val="16"/>
          <w:color w:val="auto"/>
        </w:rPr>
        <w:t xml:space="preserve">For information about the location of management’s annual reports on internal control, our financial reporting and the audit report of KPMG LLP thereon. See “Item 9A. </w:t>
      </w:r>
      <w:r>
        <w:rPr>
          <w:rFonts w:ascii="Times New Roman" w:cs="Times New Roman" w:eastAsia="Times New Roman" w:hAnsi="Times New Roman"/>
          <w:sz w:val="16"/>
          <w:szCs w:val="16"/>
          <w:i w:val="1"/>
          <w:iCs w:val="1"/>
          <w:color w:val="auto"/>
        </w:rPr>
        <w:t>Controls and Procedures</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 </w:t>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1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None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9A. </w:t>
      </w:r>
      <w:r>
        <w:rPr>
          <w:rFonts w:ascii="Times New Roman" w:cs="Times New Roman" w:eastAsia="Times New Roman" w:hAnsi="Times New Roman"/>
          <w:sz w:val="16"/>
          <w:szCs w:val="16"/>
          <w:b w:val="1"/>
          <w:bCs w:val="1"/>
          <w:i w:val="1"/>
          <w:iCs w:val="1"/>
          <w:color w:val="auto"/>
        </w:rPr>
        <w:t>CONTROLS AND PROCEDURES</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1) Management’s Report on Internal Control over Financial Reporting</w:t>
      </w:r>
    </w:p>
    <w:p>
      <w:pPr>
        <w:spacing w:after="0" w:line="94" w:lineRule="exact"/>
        <w:rPr>
          <w:sz w:val="20"/>
          <w:szCs w:val="20"/>
          <w:color w:val="auto"/>
        </w:rPr>
      </w:pPr>
    </w:p>
    <w:p>
      <w:pPr>
        <w:jc w:val="both"/>
        <w:ind w:left="80" w:right="100" w:firstLine="588"/>
        <w:spacing w:after="0" w:line="243" w:lineRule="auto"/>
        <w:rPr>
          <w:sz w:val="20"/>
          <w:szCs w:val="20"/>
          <w:color w:val="auto"/>
        </w:rPr>
      </w:pPr>
      <w:r>
        <w:rPr>
          <w:rFonts w:ascii="Times New Roman" w:cs="Times New Roman" w:eastAsia="Times New Roman" w:hAnsi="Times New Roman"/>
          <w:sz w:val="16"/>
          <w:szCs w:val="16"/>
          <w:color w:val="auto"/>
        </w:rPr>
        <w:t>Management of CVB Financial Corp., together with its consolidated subsidiaries (the “Company”), is responsible for establishing and maintaining adequate internal control over financial reporting. The Company’s internal control over financial reporting is a process designed by, or under the supervision of, the Company’s principal executive and principal financial officers to provide reasonable assurance regarding the reliability of financial reporting and the preparation of the Company’s financial statements for external reporting purposes in accordance with U.S. generally accepted accounting principles.</w:t>
      </w:r>
    </w:p>
    <w:p>
      <w:pPr>
        <w:spacing w:after="0" w:line="71" w:lineRule="exact"/>
        <w:rPr>
          <w:sz w:val="20"/>
          <w:szCs w:val="20"/>
          <w:color w:val="auto"/>
        </w:rPr>
      </w:pPr>
    </w:p>
    <w:p>
      <w:pPr>
        <w:ind w:left="80" w:right="140" w:firstLine="588"/>
        <w:spacing w:after="0" w:line="241" w:lineRule="auto"/>
        <w:rPr>
          <w:sz w:val="20"/>
          <w:szCs w:val="20"/>
          <w:color w:val="auto"/>
        </w:rPr>
      </w:pPr>
      <w:r>
        <w:rPr>
          <w:rFonts w:ascii="Times New Roman" w:cs="Times New Roman" w:eastAsia="Times New Roman" w:hAnsi="Times New Roman"/>
          <w:sz w:val="16"/>
          <w:szCs w:val="16"/>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73" w:lineRule="exact"/>
        <w:rPr>
          <w:sz w:val="20"/>
          <w:szCs w:val="20"/>
          <w:color w:val="auto"/>
        </w:rPr>
      </w:pPr>
    </w:p>
    <w:p>
      <w:pPr>
        <w:ind w:left="80" w:right="100" w:firstLine="588"/>
        <w:spacing w:after="0" w:line="289" w:lineRule="auto"/>
        <w:rPr>
          <w:sz w:val="20"/>
          <w:szCs w:val="20"/>
          <w:color w:val="auto"/>
        </w:rPr>
      </w:pPr>
      <w:r>
        <w:rPr>
          <w:rFonts w:ascii="Times New Roman" w:cs="Times New Roman" w:eastAsia="Times New Roman" w:hAnsi="Times New Roman"/>
          <w:sz w:val="14"/>
          <w:szCs w:val="14"/>
          <w:color w:val="auto"/>
        </w:rPr>
        <w:t>As of December 31, 2024, management conducted an assessment of the effectiveness of the Company’s internal control over financial reporting based on the framework established in Internal Control — Integrated Framework (2013) issued by the Committee of Sponsoring Organizations of the Treadway Commission. Based on this assessment, management has determined that the Company’s internal control over financial reporting as of December 31, 2024 is effective. KPMG LLP, an independent registered public accounting firm, has issued their report on the effectiveness of internal control over financial reporting as of December 31, 2024.</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17" w:right="68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color w:val="auto"/>
        </w:rPr>
        <w:t>2) Auditor attestation</w:t>
      </w:r>
    </w:p>
    <w:p>
      <w:pPr>
        <w:spacing w:after="0" w:line="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CVB Financial Corp.: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 on Internal Control Over Financial Reporting</w:t>
      </w:r>
    </w:p>
    <w:p>
      <w:pPr>
        <w:spacing w:after="0" w:line="17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We have audited CVB Financial Corp.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5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2024 and 2023, the related consolidated statements of earnings and comprehensive income, stockholders’ equity, and cash flows for each of the years in the three -year period ended December 31, 2024, and the related notes (collectively, the consolidated financial statements), and our report dated February 28, 2025 expressed an unqualified opinion on those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7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Definition and Limitations of Internal Control Over Financial Reporting</w:t>
      </w:r>
    </w:p>
    <w:p>
      <w:pPr>
        <w:spacing w:after="0" w:line="17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Irvine,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19" w:right="720" w:bottom="1440" w:gutter="0" w:footer="0" w:header="0"/>
        </w:sectPr>
      </w:pPr>
    </w:p>
    <w:bookmarkStart w:id="82" w:name="page83"/>
    <w:bookmarkEnd w:id="82"/>
    <w:p>
      <w:pPr>
        <w:ind w:left="80"/>
        <w:spacing w:after="0"/>
        <w:rPr>
          <w:sz w:val="20"/>
          <w:szCs w:val="20"/>
          <w:color w:val="auto"/>
        </w:rPr>
      </w:pPr>
      <w:r>
        <w:rPr>
          <w:rFonts w:ascii="Times New Roman" w:cs="Times New Roman" w:eastAsia="Times New Roman" w:hAnsi="Times New Roman"/>
          <w:sz w:val="16"/>
          <w:szCs w:val="16"/>
          <w:b w:val="1"/>
          <w:bCs w:val="1"/>
          <w:color w:val="auto"/>
        </w:rPr>
        <w:t>3) Evaluation of Disclosure Controls and Procedures; Changes in Internal Control over Financial Reporting</w:t>
      </w:r>
    </w:p>
    <w:p>
      <w:pPr>
        <w:spacing w:after="0" w:line="154" w:lineRule="exact"/>
        <w:rPr>
          <w:sz w:val="20"/>
          <w:szCs w:val="20"/>
          <w:color w:val="auto"/>
        </w:rPr>
      </w:pPr>
    </w:p>
    <w:p>
      <w:pPr>
        <w:ind w:left="80" w:right="20" w:firstLine="588"/>
        <w:spacing w:after="0" w:line="243" w:lineRule="auto"/>
        <w:rPr>
          <w:sz w:val="20"/>
          <w:szCs w:val="20"/>
          <w:color w:val="auto"/>
        </w:rPr>
      </w:pPr>
      <w:r>
        <w:rPr>
          <w:rFonts w:ascii="Times New Roman" w:cs="Times New Roman" w:eastAsia="Times New Roman" w:hAnsi="Times New Roman"/>
          <w:sz w:val="16"/>
          <w:szCs w:val="16"/>
          <w:color w:val="auto"/>
        </w:rPr>
        <w:t>We maintain controls and procedures designed to ensure that information required to be disclosed by us in reports that we file or submit under the Securities Exchange Act of 1934, as amended (the “Exchange Act”), is recorded, processed, summarized and reported within the time periods specified in SEC rules and forms. Such information is reported to our management, including our Chief Executive Officer and Chief Financial Officer to allow timely and accurate disclosure based on the definition of “disclosure controls and procedures” in SEC Rule 13a-15(e) and 15d-15(e) promulgated pursuant to the Exchange Act.</w:t>
      </w:r>
    </w:p>
    <w:p>
      <w:pPr>
        <w:spacing w:after="0" w:line="131" w:lineRule="exact"/>
        <w:rPr>
          <w:sz w:val="20"/>
          <w:szCs w:val="20"/>
          <w:color w:val="auto"/>
        </w:rPr>
      </w:pPr>
    </w:p>
    <w:p>
      <w:pPr>
        <w:ind w:left="80" w:right="120" w:firstLine="588"/>
        <w:spacing w:after="0" w:line="299" w:lineRule="auto"/>
        <w:rPr>
          <w:sz w:val="20"/>
          <w:szCs w:val="20"/>
          <w:color w:val="auto"/>
        </w:rPr>
      </w:pPr>
      <w:r>
        <w:rPr>
          <w:rFonts w:ascii="Times New Roman" w:cs="Times New Roman" w:eastAsia="Times New Roman" w:hAnsi="Times New Roman"/>
          <w:sz w:val="14"/>
          <w:szCs w:val="14"/>
          <w:color w:val="auto"/>
        </w:rPr>
        <w:t>As of the end of the period covered by this report, we carried out an evaluation of the effectiveness of our disclosure controls and procedures under the supervision and with the participation of our management, including our Chief Executive Officer and the Chief Financial Officer. Based on the foregoing, our Chief Executive Officer and the Chief Financial Officer concluded that our disclosure controls and procedures are effective as of the end of the period covered by this report.</w:t>
      </w:r>
    </w:p>
    <w:p>
      <w:pPr>
        <w:spacing w:after="0" w:line="95" w:lineRule="exact"/>
        <w:rPr>
          <w:sz w:val="20"/>
          <w:szCs w:val="20"/>
          <w:color w:val="auto"/>
        </w:rPr>
      </w:pPr>
    </w:p>
    <w:p>
      <w:pPr>
        <w:ind w:left="80" w:firstLine="588"/>
        <w:spacing w:after="0" w:line="259" w:lineRule="auto"/>
        <w:rPr>
          <w:sz w:val="20"/>
          <w:szCs w:val="20"/>
          <w:color w:val="auto"/>
        </w:rPr>
      </w:pPr>
      <w:r>
        <w:rPr>
          <w:rFonts w:ascii="Times New Roman" w:cs="Times New Roman" w:eastAsia="Times New Roman" w:hAnsi="Times New Roman"/>
          <w:sz w:val="16"/>
          <w:szCs w:val="16"/>
          <w:color w:val="auto"/>
        </w:rPr>
        <w:t>During the fiscal quarter ended December 31, 2024, there have been no changes in our internal control over financial reporting that has materially affected or is reasonably likely to materially affect our internal control over financial reporting.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9B. </w:t>
      </w:r>
      <w:r>
        <w:rPr>
          <w:rFonts w:ascii="Times New Roman" w:cs="Times New Roman" w:eastAsia="Times New Roman" w:hAnsi="Times New Roman"/>
          <w:sz w:val="16"/>
          <w:szCs w:val="16"/>
          <w:b w:val="1"/>
          <w:bCs w:val="1"/>
          <w:i w:val="1"/>
          <w:iCs w:val="1"/>
          <w:color w:val="auto"/>
        </w:rPr>
        <w:t>OTHER INFORMATION</w:t>
      </w:r>
    </w:p>
    <w:p>
      <w:pPr>
        <w:spacing w:after="0" w:line="156" w:lineRule="exact"/>
        <w:rPr>
          <w:sz w:val="20"/>
          <w:szCs w:val="20"/>
          <w:color w:val="auto"/>
        </w:rPr>
      </w:pPr>
    </w:p>
    <w:p>
      <w:pPr>
        <w:ind w:left="80" w:right="60" w:firstLine="588"/>
        <w:spacing w:after="0" w:line="259" w:lineRule="auto"/>
        <w:rPr>
          <w:sz w:val="20"/>
          <w:szCs w:val="20"/>
          <w:color w:val="auto"/>
        </w:rPr>
      </w:pPr>
      <w:r>
        <w:rPr>
          <w:rFonts w:ascii="Times New Roman" w:cs="Times New Roman" w:eastAsia="Times New Roman" w:hAnsi="Times New Roman"/>
          <w:sz w:val="16"/>
          <w:szCs w:val="16"/>
          <w:color w:val="auto"/>
        </w:rPr>
        <w:t>During the three months ended December 31, 2024, none of the Company’s directors or officers adopted or terminated a Rule 10b5-1 trading arrangement or a non-Rule 10b5-1 trading arrangement as each term is defined in Item 408(a) of Regulation S-K.</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9C. </w:t>
      </w:r>
      <w:r>
        <w:rPr>
          <w:rFonts w:ascii="Times New Roman" w:cs="Times New Roman" w:eastAsia="Times New Roman" w:hAnsi="Times New Roman"/>
          <w:sz w:val="16"/>
          <w:szCs w:val="16"/>
          <w:b w:val="1"/>
          <w:bCs w:val="1"/>
          <w:i w:val="1"/>
          <w:iCs w:val="1"/>
          <w:color w:val="auto"/>
        </w:rPr>
        <w:t>DISCLOSURE REGARDING FOREIGN JURISDICTIONS THAT PREVENT INSPECTIONS</w:t>
      </w:r>
    </w:p>
    <w:p>
      <w:pPr>
        <w:spacing w:after="0" w:line="1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Not applicable.</w:t>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19" w:right="680" w:bottom="1440" w:gutter="0" w:footer="0" w:header="0"/>
        </w:sectPr>
      </w:pPr>
    </w:p>
    <w:bookmarkStart w:id="83" w:name="page84"/>
    <w:bookmarkEnd w:id="83"/>
    <w:p>
      <w:pPr>
        <w:jc w:val="right"/>
        <w:ind w:right="500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50" w:lineRule="exact"/>
        <w:rPr>
          <w:sz w:val="20"/>
          <w:szCs w:val="20"/>
          <w:color w:val="auto"/>
        </w:rPr>
      </w:pPr>
    </w:p>
    <w:p>
      <w:pPr>
        <w:jc w:val="right"/>
        <w:ind w:right="4960"/>
        <w:spacing w:after="0"/>
        <w:rPr>
          <w:sz w:val="20"/>
          <w:szCs w:val="20"/>
          <w:color w:val="auto"/>
        </w:rPr>
      </w:pPr>
      <w:r>
        <w:rPr>
          <w:rFonts w:ascii="Times New Roman" w:cs="Times New Roman" w:eastAsia="Times New Roman" w:hAnsi="Times New Roman"/>
          <w:sz w:val="14"/>
          <w:szCs w:val="14"/>
          <w:b w:val="1"/>
          <w:bCs w:val="1"/>
          <w:color w:val="auto"/>
        </w:rPr>
        <w:t xml:space="preserve">TEM 10. </w:t>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179" w:lineRule="exact"/>
        <w:rPr>
          <w:sz w:val="20"/>
          <w:szCs w:val="20"/>
          <w:color w:val="auto"/>
        </w:rPr>
      </w:pPr>
    </w:p>
    <w:p>
      <w:pPr>
        <w:ind w:left="80" w:right="100" w:firstLine="588"/>
        <w:spacing w:after="0" w:line="241" w:lineRule="auto"/>
        <w:rPr>
          <w:sz w:val="20"/>
          <w:szCs w:val="20"/>
          <w:color w:val="auto"/>
        </w:rPr>
      </w:pPr>
      <w:r>
        <w:rPr>
          <w:rFonts w:ascii="Times New Roman" w:cs="Times New Roman" w:eastAsia="Times New Roman" w:hAnsi="Times New Roman"/>
          <w:sz w:val="16"/>
          <w:szCs w:val="16"/>
          <w:color w:val="auto"/>
        </w:rPr>
        <w:t>Except as hereinafter noted, the information concerning directors and executive officers of the Company, corporate governance and our audit committee financial experts is incorporated by reference from the section entitled “Discussion of Proposals recommended by the Board — Proposal 1: Election of Directors” and “Beneficial Ownership Reporting Compliance,” “Corporate Governance Principles and Board Matters,” and “Audit Committee” of our definitive Proxy Statement to be filed pursuant to Regulation 14A within 120 days after the end of the last fiscal year. For information concerning the executive officers of the Company, see Item I of Part I hereto.</w:t>
      </w:r>
    </w:p>
    <w:p>
      <w:pPr>
        <w:spacing w:after="0" w:line="133" w:lineRule="exact"/>
        <w:rPr>
          <w:sz w:val="20"/>
          <w:szCs w:val="20"/>
          <w:color w:val="auto"/>
        </w:rPr>
      </w:pPr>
    </w:p>
    <w:p>
      <w:pPr>
        <w:ind w:left="80" w:firstLine="588"/>
        <w:spacing w:after="0" w:line="239" w:lineRule="auto"/>
        <w:rPr>
          <w:sz w:val="20"/>
          <w:szCs w:val="20"/>
          <w:color w:val="auto"/>
        </w:rPr>
      </w:pPr>
      <w:r>
        <w:rPr>
          <w:rFonts w:ascii="Times New Roman" w:cs="Times New Roman" w:eastAsia="Times New Roman" w:hAnsi="Times New Roman"/>
          <w:sz w:val="16"/>
          <w:szCs w:val="16"/>
          <w:color w:val="auto"/>
        </w:rPr>
        <w:t>The Company has adopted a Code of Ethics that applies to all of the Company’s employees, including the Company’s principal executive officer, the principal financial officer, accounting officers, and all employees who perform these functions. A copy of the Code of Ethics is available to any person without charge by submitting a request to the Company’s Chief Financial Officer at 701 N. Haven Avenue, Suite 350, Ontario, CA 91764. If the Company shall amend its Code of Ethics as it applies to the principal executive officer, principal financial officer, principal accounting officer or controller (or persons performing similar functions) or shall grant a waiver from any provision of the code of ethics to any such person, the Company shall disclose such amendment or waiver on its website at www.cbbank.com under the tab “Investor Relations.”</w:t>
      </w:r>
    </w:p>
    <w:p>
      <w:pPr>
        <w:spacing w:after="0" w:line="137" w:lineRule="exact"/>
        <w:rPr>
          <w:sz w:val="20"/>
          <w:szCs w:val="20"/>
          <w:color w:val="auto"/>
        </w:rPr>
      </w:pPr>
    </w:p>
    <w:p>
      <w:pPr>
        <w:jc w:val="both"/>
        <w:ind w:left="80" w:right="120" w:firstLine="588"/>
        <w:spacing w:after="0" w:line="247" w:lineRule="auto"/>
        <w:rPr>
          <w:sz w:val="20"/>
          <w:szCs w:val="20"/>
          <w:color w:val="auto"/>
        </w:rPr>
      </w:pPr>
      <w:r>
        <w:rPr>
          <w:rFonts w:ascii="Times New Roman" w:cs="Times New Roman" w:eastAsia="Times New Roman" w:hAnsi="Times New Roman"/>
          <w:sz w:val="16"/>
          <w:szCs w:val="16"/>
          <w:color w:val="auto"/>
        </w:rPr>
        <w:t>Our board of directors has adopted an insider trading policy which governs the purchase, sale, and/or other dispositions of our securities by directors, officers and employees and other covered persons and is designed to promote compliance with insider trading laws, rules and regulations, and listing standards applicable to the Company. A copy of our Insider Trading Policy is filed as Exhibit 19 to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11. </w:t>
      </w:r>
      <w:r>
        <w:rPr>
          <w:rFonts w:ascii="Times New Roman" w:cs="Times New Roman" w:eastAsia="Times New Roman" w:hAnsi="Times New Roman"/>
          <w:sz w:val="16"/>
          <w:szCs w:val="16"/>
          <w:b w:val="1"/>
          <w:bCs w:val="1"/>
          <w:i w:val="1"/>
          <w:iCs w:val="1"/>
          <w:color w:val="auto"/>
        </w:rPr>
        <w:t>EXECUTIVE COMPENSATION</w:t>
      </w:r>
    </w:p>
    <w:p>
      <w:pPr>
        <w:spacing w:after="0" w:line="156" w:lineRule="exact"/>
        <w:rPr>
          <w:sz w:val="20"/>
          <w:szCs w:val="20"/>
          <w:color w:val="auto"/>
        </w:rPr>
      </w:pPr>
    </w:p>
    <w:p>
      <w:pPr>
        <w:ind w:left="80" w:right="100" w:firstLine="588"/>
        <w:spacing w:after="0" w:line="247" w:lineRule="auto"/>
        <w:rPr>
          <w:sz w:val="20"/>
          <w:szCs w:val="20"/>
          <w:color w:val="auto"/>
        </w:rPr>
      </w:pPr>
      <w:r>
        <w:rPr>
          <w:rFonts w:ascii="Times New Roman" w:cs="Times New Roman" w:eastAsia="Times New Roman" w:hAnsi="Times New Roman"/>
          <w:sz w:val="16"/>
          <w:szCs w:val="16"/>
          <w:color w:val="auto"/>
        </w:rPr>
        <w:t>Information concerning management remuneration and transactions is incorporated by reference from the section entitled “Election of Directors” and “Executive Compensation — Certain Relationships and Related Transactions” of our definitive Proxy Statement to be filed pursuant to Regulation 14A within 120 days after the end of the last fiscal year.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12. </w:t>
      </w:r>
      <w:r>
        <w:rPr>
          <w:rFonts w:ascii="Times New Roman" w:cs="Times New Roman" w:eastAsia="Times New Roman" w:hAnsi="Times New Roman"/>
          <w:sz w:val="16"/>
          <w:szCs w:val="16"/>
          <w:b w:val="1"/>
          <w:bCs w:val="1"/>
          <w:i w:val="1"/>
          <w:iCs w:val="1"/>
          <w:color w:val="auto"/>
        </w:rPr>
        <w:t>SECURITY OWNERSHIP OF CERTAIN BENEFICIAL OWNERS AND MANAGEMENT AND RELATED STOCKHOLDER MATTERS</w:t>
      </w:r>
    </w:p>
    <w:p>
      <w:pPr>
        <w:spacing w:after="0" w:line="156" w:lineRule="exact"/>
        <w:rPr>
          <w:sz w:val="20"/>
          <w:szCs w:val="20"/>
          <w:color w:val="auto"/>
        </w:rPr>
      </w:pPr>
    </w:p>
    <w:p>
      <w:pPr>
        <w:ind w:left="80" w:right="80" w:firstLine="588"/>
        <w:spacing w:after="0" w:line="259" w:lineRule="auto"/>
        <w:rPr>
          <w:sz w:val="20"/>
          <w:szCs w:val="20"/>
          <w:color w:val="auto"/>
        </w:rPr>
      </w:pPr>
      <w:r>
        <w:rPr>
          <w:rFonts w:ascii="Times New Roman" w:cs="Times New Roman" w:eastAsia="Times New Roman" w:hAnsi="Times New Roman"/>
          <w:sz w:val="16"/>
          <w:szCs w:val="16"/>
          <w:color w:val="auto"/>
        </w:rPr>
        <w:t>The following table summarizes information as of December 31, 2024 relating to our equity compensation plans pursuant to which grants of options, restricted stock, or other rights to acquire shares may be granted from time to time.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3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w:t>
            </w:r>
          </w:p>
        </w:tc>
        <w:tc>
          <w:tcPr>
            <w:tcW w:w="460" w:type="dxa"/>
            <w:vAlign w:val="bottom"/>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60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 Available for</w:t>
            </w:r>
          </w:p>
        </w:tc>
        <w:tc>
          <w:tcPr>
            <w:tcW w:w="460" w:type="dxa"/>
            <w:vAlign w:val="bottom"/>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Exercise Price of</w:t>
            </w:r>
          </w:p>
        </w:tc>
        <w:tc>
          <w:tcPr>
            <w:tcW w:w="60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Future Issuance Under</w:t>
            </w:r>
          </w:p>
        </w:tc>
        <w:tc>
          <w:tcPr>
            <w:tcW w:w="460" w:type="dxa"/>
            <w:vAlign w:val="bottom"/>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60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Compensation Plans</w:t>
            </w:r>
          </w:p>
        </w:tc>
        <w:tc>
          <w:tcPr>
            <w:tcW w:w="460" w:type="dxa"/>
            <w:vAlign w:val="bottom"/>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Options, Warrants,</w:t>
            </w:r>
          </w:p>
        </w:tc>
        <w:tc>
          <w:tcPr>
            <w:tcW w:w="60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(Excluding Securities</w:t>
            </w:r>
          </w:p>
        </w:tc>
        <w:tc>
          <w:tcPr>
            <w:tcW w:w="460" w:type="dxa"/>
            <w:vAlign w:val="bottom"/>
          </w:tcPr>
          <w:p>
            <w:pPr>
              <w:spacing w:after="0"/>
              <w:rPr>
                <w:sz w:val="13"/>
                <w:szCs w:val="13"/>
                <w:color w:val="auto"/>
              </w:rPr>
            </w:pPr>
          </w:p>
        </w:tc>
      </w:tr>
      <w:tr>
        <w:trPr>
          <w:trHeight w:val="170"/>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Warrants, and Rights (a)</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and Rights (b)</w:t>
            </w:r>
          </w:p>
        </w:tc>
        <w:tc>
          <w:tcPr>
            <w:tcW w:w="6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Reflected in Column (a)) (c)</w:t>
            </w:r>
          </w:p>
        </w:tc>
        <w:tc>
          <w:tcPr>
            <w:tcW w:w="460" w:type="dxa"/>
            <w:vAlign w:val="bottom"/>
          </w:tcPr>
          <w:p>
            <w:pPr>
              <w:spacing w:after="0"/>
              <w:rPr>
                <w:sz w:val="14"/>
                <w:szCs w:val="14"/>
                <w:color w:val="auto"/>
              </w:rPr>
            </w:pPr>
          </w:p>
        </w:tc>
      </w:tr>
      <w:tr>
        <w:trPr>
          <w:trHeight w:val="144"/>
        </w:trPr>
        <w:tc>
          <w:tcPr>
            <w:tcW w:w="3120" w:type="dxa"/>
            <w:vAlign w:val="bottom"/>
            <w:shd w:val="clear" w:color="auto" w:fill="CFF0FC"/>
          </w:tcPr>
          <w:p>
            <w:pPr>
              <w:ind w:left="180"/>
              <w:spacing w:after="0" w:line="144" w:lineRule="exact"/>
              <w:rPr>
                <w:sz w:val="20"/>
                <w:szCs w:val="20"/>
                <w:color w:val="auto"/>
              </w:rPr>
            </w:pPr>
            <w:r>
              <w:rPr>
                <w:rFonts w:ascii="Times New Roman" w:cs="Times New Roman" w:eastAsia="Times New Roman" w:hAnsi="Times New Roman"/>
                <w:sz w:val="13"/>
                <w:szCs w:val="13"/>
                <w:color w:val="auto"/>
              </w:rPr>
              <w:t>Equity compensation plans approved by</w:t>
            </w:r>
          </w:p>
        </w:tc>
        <w:tc>
          <w:tcPr>
            <w:tcW w:w="1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68"/>
        </w:trPr>
        <w:tc>
          <w:tcPr>
            <w:tcW w:w="3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security holders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646,531</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5,372,300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44"/>
        </w:trPr>
        <w:tc>
          <w:tcPr>
            <w:tcW w:w="312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Equity compensation plans not approved by security</w:t>
            </w:r>
          </w:p>
        </w:tc>
        <w:tc>
          <w:tcPr>
            <w:tcW w:w="1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8"/>
        </w:trPr>
        <w:tc>
          <w:tcPr>
            <w:tcW w:w="3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r>
      <w:tr>
        <w:trPr>
          <w:trHeight w:val="196"/>
        </w:trPr>
        <w:tc>
          <w:tcPr>
            <w:tcW w:w="31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646,531</w:t>
            </w:r>
          </w:p>
        </w:tc>
        <w:tc>
          <w:tcPr>
            <w:tcW w:w="5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600" w:type="dxa"/>
            <w:vAlign w:val="bottom"/>
            <w:tcBorders>
              <w:bottom w:val="single" w:sz="8" w:color="CFF0FC"/>
            </w:tcBorders>
            <w:shd w:val="clear" w:color="auto" w:fill="CFF0FC"/>
          </w:tcPr>
          <w:p>
            <w:pPr>
              <w:spacing w:after="0"/>
              <w:rPr>
                <w:sz w:val="17"/>
                <w:szCs w:val="17"/>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5,372,300</w:t>
            </w:r>
          </w:p>
        </w:tc>
        <w:tc>
          <w:tcPr>
            <w:tcW w:w="460" w:type="dxa"/>
            <w:vAlign w:val="bottom"/>
            <w:tcBorders>
              <w:bottom w:val="single" w:sz="8" w:color="CFF0FC"/>
            </w:tcBorders>
            <w:shd w:val="clear" w:color="auto" w:fill="CFF0FC"/>
          </w:tcPr>
          <w:p>
            <w:pPr>
              <w:spacing w:after="0"/>
              <w:rPr>
                <w:sz w:val="17"/>
                <w:szCs w:val="17"/>
                <w:color w:val="auto"/>
              </w:rPr>
            </w:pPr>
          </w:p>
        </w:tc>
      </w:tr>
    </w:tbl>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(1)Includes 213,181 performance-based restricted stock units. There are no restricted stock units outstanding. Refer to Note 15 for further information.</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(2)Assumes shares issued upon vesting of performance-based units vest at 100% of target number of units. Actual number of shares issued on vesting of performance units could be zero to</w:t>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125% of the target number of units.</w:t>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(3)Weighted average exercise price of outstanding options; excludes restricted stock units and performance-based restricted stock units.</w:t>
      </w:r>
    </w:p>
    <w:p>
      <w:pPr>
        <w:spacing w:after="0" w:line="171" w:lineRule="exact"/>
        <w:rPr>
          <w:sz w:val="20"/>
          <w:szCs w:val="20"/>
          <w:color w:val="auto"/>
        </w:rPr>
      </w:pPr>
    </w:p>
    <w:p>
      <w:pPr>
        <w:ind w:left="80" w:right="560" w:firstLine="600"/>
        <w:spacing w:after="0" w:line="259" w:lineRule="auto"/>
        <w:rPr>
          <w:sz w:val="20"/>
          <w:szCs w:val="20"/>
          <w:color w:val="auto"/>
        </w:rPr>
      </w:pPr>
      <w:r>
        <w:rPr>
          <w:rFonts w:ascii="Times New Roman" w:cs="Times New Roman" w:eastAsia="Times New Roman" w:hAnsi="Times New Roman"/>
          <w:sz w:val="16"/>
          <w:szCs w:val="16"/>
          <w:color w:val="auto"/>
        </w:rPr>
        <w:t>Information concerning security ownership of certain beneficial owners and management is incorporated by reference from the sections entitled “Stock Ownership” of our definitive Proxy Statement to be filed pursuant to Regulation 14A within 120 days after the end of the last fiscal year.</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80"/>
          </w:cols>
          <w:pgMar w:left="580" w:top="1419" w:right="640" w:bottom="1440" w:gutter="0" w:footer="0" w:header="0"/>
        </w:sectPr>
      </w:pPr>
    </w:p>
    <w:bookmarkStart w:id="84" w:name="page85"/>
    <w:bookmarkEnd w:id="84"/>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13. </w:t>
      </w:r>
      <w:r>
        <w:rPr>
          <w:rFonts w:ascii="Times New Roman" w:cs="Times New Roman" w:eastAsia="Times New Roman" w:hAnsi="Times New Roman"/>
          <w:sz w:val="16"/>
          <w:szCs w:val="16"/>
          <w:b w:val="1"/>
          <w:bCs w:val="1"/>
          <w:i w:val="1"/>
          <w:iCs w:val="1"/>
          <w:color w:val="auto"/>
        </w:rPr>
        <w:t>CERTAIN RELATIONSHIPS AND RELATED TRANSACTIONS, AND DIRECTOR INDEPENDENCE</w:t>
      </w:r>
    </w:p>
    <w:p>
      <w:pPr>
        <w:spacing w:after="0" w:line="156" w:lineRule="exact"/>
        <w:rPr>
          <w:sz w:val="20"/>
          <w:szCs w:val="20"/>
          <w:color w:val="auto"/>
        </w:rPr>
      </w:pPr>
    </w:p>
    <w:p>
      <w:pPr>
        <w:ind w:left="80" w:firstLine="588"/>
        <w:spacing w:after="0" w:line="247" w:lineRule="auto"/>
        <w:rPr>
          <w:sz w:val="20"/>
          <w:szCs w:val="20"/>
          <w:color w:val="auto"/>
        </w:rPr>
      </w:pPr>
      <w:r>
        <w:rPr>
          <w:rFonts w:ascii="Times New Roman" w:cs="Times New Roman" w:eastAsia="Times New Roman" w:hAnsi="Times New Roman"/>
          <w:sz w:val="16"/>
          <w:szCs w:val="16"/>
          <w:color w:val="auto"/>
        </w:rPr>
        <w:t>Information concerning certain relationships and related transactions with management and others and information regarding director independence is incorporated by reference from the section entitled “Executive Compensation — Certain Relationships and Related Transactions” and “Director Independence” of our definitive Proxy Statement to be filed pursuant to Regulation 14A within 120 days after the end of the last fiscal year.</w:t>
      </w:r>
    </w:p>
    <w:p>
      <w:pPr>
        <w:spacing w:after="0" w:line="200" w:lineRule="exact"/>
        <w:rPr>
          <w:sz w:val="20"/>
          <w:szCs w:val="20"/>
          <w:color w:val="auto"/>
        </w:rPr>
      </w:pPr>
    </w:p>
    <w:p>
      <w:pPr>
        <w:spacing w:after="0" w:line="3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ITEM 14. </w:t>
      </w:r>
      <w:r>
        <w:rPr>
          <w:rFonts w:ascii="Times New Roman" w:cs="Times New Roman" w:eastAsia="Times New Roman" w:hAnsi="Times New Roman"/>
          <w:sz w:val="16"/>
          <w:szCs w:val="16"/>
          <w:b w:val="1"/>
          <w:bCs w:val="1"/>
          <w:i w:val="1"/>
          <w:iCs w:val="1"/>
          <w:color w:val="auto"/>
        </w:rPr>
        <w:t>PRINCIPAL ACCOUNTANT FEES AND SERVICES</w:t>
      </w:r>
    </w:p>
    <w:p>
      <w:pPr>
        <w:spacing w:after="0" w:line="156" w:lineRule="exact"/>
        <w:rPr>
          <w:sz w:val="20"/>
          <w:szCs w:val="20"/>
          <w:color w:val="auto"/>
        </w:rPr>
      </w:pPr>
    </w:p>
    <w:p>
      <w:pPr>
        <w:jc w:val="both"/>
        <w:ind w:left="80" w:right="480" w:firstLine="588"/>
        <w:spacing w:after="0" w:line="331" w:lineRule="auto"/>
        <w:rPr>
          <w:sz w:val="20"/>
          <w:szCs w:val="20"/>
          <w:color w:val="auto"/>
        </w:rPr>
      </w:pPr>
      <w:r>
        <w:rPr>
          <w:rFonts w:ascii="Times New Roman" w:cs="Times New Roman" w:eastAsia="Times New Roman" w:hAnsi="Times New Roman"/>
          <w:sz w:val="14"/>
          <w:szCs w:val="14"/>
          <w:color w:val="auto"/>
        </w:rPr>
        <w:t>Information concerning principal accounting fees and services is incorporated by reference from the section entitled “Ratification of Appointment of Independent Public Accountants” of our definitive Proxy Statement to be filed pursuant to Regulation 14A within 120 days after the end of the last fiscal year.</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580" w:top="1440" w:right="860" w:bottom="1440" w:gutter="0" w:footer="0" w:header="0"/>
        </w:sectPr>
      </w:pPr>
    </w:p>
    <w:bookmarkStart w:id="85" w:name="page86"/>
    <w:bookmarkEnd w:id="85"/>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15. </w:t>
      </w:r>
      <w:r>
        <w:rPr>
          <w:rFonts w:ascii="Times New Roman" w:cs="Times New Roman" w:eastAsia="Times New Roman" w:hAnsi="Times New Roman"/>
          <w:sz w:val="16"/>
          <w:szCs w:val="16"/>
          <w:b w:val="1"/>
          <w:bCs w:val="1"/>
          <w:i w:val="1"/>
          <w:iCs w:val="1"/>
          <w:color w:val="auto"/>
        </w:rPr>
        <w:t>EXHIBITS AND FINANCIAL STATEMENT SCHEDULES</w:t>
      </w:r>
    </w:p>
    <w:p>
      <w:pPr>
        <w:spacing w:after="0" w:line="1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Financial Statements</w:t>
      </w:r>
    </w:p>
    <w:p>
      <w:pPr>
        <w:spacing w:after="0" w:line="198" w:lineRule="exact"/>
        <w:rPr>
          <w:sz w:val="20"/>
          <w:szCs w:val="20"/>
          <w:color w:val="auto"/>
        </w:rPr>
      </w:pPr>
    </w:p>
    <w:p>
      <w:pPr>
        <w:ind w:left="1260" w:hanging="634"/>
        <w:spacing w:after="0"/>
        <w:tabs>
          <w:tab w:leader="none" w:pos="1260" w:val="left"/>
        </w:tabs>
        <w:numPr>
          <w:ilvl w:val="0"/>
          <w:numId w:val="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(1)   All Financial Statements</w:t>
      </w:r>
    </w:p>
    <w:p>
      <w:pPr>
        <w:spacing w:after="0" w:line="18" w:lineRule="exact"/>
        <w:rPr>
          <w:sz w:val="20"/>
          <w:szCs w:val="20"/>
          <w:color w:val="auto"/>
        </w:rPr>
      </w:pPr>
    </w:p>
    <w:p>
      <w:pPr>
        <w:ind w:left="168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Reference is made to the Index to Financial Statements on page </w:t>
      </w:r>
      <w:hyperlink w:anchor="page81">
        <w:r>
          <w:rPr>
            <w:rFonts w:ascii="Times New Roman" w:cs="Times New Roman" w:eastAsia="Times New Roman" w:hAnsi="Times New Roman"/>
            <w:sz w:val="16"/>
            <w:szCs w:val="16"/>
            <w:color w:val="0000FF"/>
          </w:rPr>
          <w:t>80</w:t>
        </w:r>
        <w:r>
          <w:rPr>
            <w:rFonts w:ascii="Times New Roman" w:cs="Times New Roman" w:eastAsia="Times New Roman" w:hAnsi="Times New Roman"/>
            <w:sz w:val="16"/>
            <w:szCs w:val="16"/>
            <w:color w:val="auto"/>
          </w:rPr>
          <w:t xml:space="preserve"> </w:t>
        </w:r>
      </w:hyperlink>
      <w:r>
        <w:rPr>
          <w:rFonts w:ascii="Times New Roman" w:cs="Times New Roman" w:eastAsia="Times New Roman" w:hAnsi="Times New Roman"/>
          <w:sz w:val="16"/>
          <w:szCs w:val="16"/>
          <w:color w:val="auto"/>
        </w:rPr>
        <w:t>for a list of financial statements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-135255</wp:posOffset>
            </wp:positionV>
            <wp:extent cx="9906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9060" cy="7620"/>
                    </a:xfrm>
                    <a:prstGeom prst="rect">
                      <a:avLst/>
                    </a:prstGeom>
                    <a:noFill/>
                  </pic:spPr>
                </pic:pic>
              </a:graphicData>
            </a:graphic>
          </wp:anchor>
        </w:drawing>
      </w:r>
    </w:p>
    <w:p>
      <w:pPr>
        <w:spacing w:after="0" w:line="133" w:lineRule="exact"/>
        <w:rPr>
          <w:sz w:val="20"/>
          <w:szCs w:val="20"/>
          <w:color w:val="auto"/>
        </w:rPr>
      </w:pPr>
    </w:p>
    <w:p>
      <w:pPr>
        <w:ind w:left="1680" w:hanging="418"/>
        <w:spacing w:after="0"/>
        <w:tabs>
          <w:tab w:leader="none" w:pos="1680" w:val="left"/>
        </w:tabs>
        <w:numPr>
          <w:ilvl w:val="1"/>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Financial Statement Schedules</w:t>
      </w:r>
    </w:p>
    <w:p>
      <w:pPr>
        <w:spacing w:after="0" w:line="18" w:lineRule="exact"/>
        <w:rPr>
          <w:rFonts w:ascii="Times New Roman" w:cs="Times New Roman" w:eastAsia="Times New Roman" w:hAnsi="Times New Roman"/>
          <w:sz w:val="16"/>
          <w:szCs w:val="16"/>
          <w:b w:val="1"/>
          <w:bCs w:val="1"/>
          <w:i w:val="1"/>
          <w:iCs w:val="1"/>
          <w:color w:val="auto"/>
        </w:rPr>
      </w:pPr>
    </w:p>
    <w:p>
      <w:pPr>
        <w:ind w:left="1680" w:right="12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Reference is made to the Index to Financial Statements on page </w:t>
      </w:r>
      <w:hyperlink w:anchor="page81">
        <w:r>
          <w:rPr>
            <w:rFonts w:ascii="Times New Roman" w:cs="Times New Roman" w:eastAsia="Times New Roman" w:hAnsi="Times New Roman"/>
            <w:sz w:val="16"/>
            <w:szCs w:val="16"/>
            <w:color w:val="0000FF"/>
          </w:rPr>
          <w:t>80</w:t>
        </w:r>
        <w:r>
          <w:rPr>
            <w:rFonts w:ascii="Times New Roman" w:cs="Times New Roman" w:eastAsia="Times New Roman" w:hAnsi="Times New Roman"/>
            <w:sz w:val="16"/>
            <w:szCs w:val="16"/>
            <w:color w:val="auto"/>
          </w:rPr>
          <w:t xml:space="preserve"> </w:t>
        </w:r>
      </w:hyperlink>
      <w:r>
        <w:rPr>
          <w:rFonts w:ascii="Times New Roman" w:cs="Times New Roman" w:eastAsia="Times New Roman" w:hAnsi="Times New Roman"/>
          <w:sz w:val="16"/>
          <w:szCs w:val="16"/>
          <w:color w:val="auto"/>
        </w:rPr>
        <w:t>for the listing of supplementary financial statement schedules required by this item.</w:t>
      </w:r>
    </w:p>
    <w:p>
      <w:pPr>
        <w:spacing w:after="0" w:line="153" w:lineRule="exact"/>
        <w:rPr>
          <w:rFonts w:ascii="Times New Roman" w:cs="Times New Roman" w:eastAsia="Times New Roman" w:hAnsi="Times New Roman"/>
          <w:sz w:val="16"/>
          <w:szCs w:val="16"/>
          <w:color w:val="auto"/>
        </w:rPr>
      </w:pPr>
    </w:p>
    <w:p>
      <w:pPr>
        <w:ind w:left="1680" w:hanging="418"/>
        <w:spacing w:after="0"/>
        <w:tabs>
          <w:tab w:leader="none" w:pos="1680" w:val="left"/>
        </w:tabs>
        <w:numPr>
          <w:ilvl w:val="1"/>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Exhibits</w:t>
      </w:r>
    </w:p>
    <w:p>
      <w:pPr>
        <w:spacing w:after="0" w:line="18" w:lineRule="exact"/>
        <w:rPr>
          <w:rFonts w:ascii="Times New Roman" w:cs="Times New Roman" w:eastAsia="Times New Roman" w:hAnsi="Times New Roman"/>
          <w:sz w:val="16"/>
          <w:szCs w:val="16"/>
          <w:b w:val="1"/>
          <w:bCs w:val="1"/>
          <w:i w:val="1"/>
          <w:iCs w:val="1"/>
          <w:color w:val="auto"/>
        </w:rPr>
      </w:pPr>
    </w:p>
    <w:p>
      <w:pPr>
        <w:ind w:left="1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listing of exhibits required by this item is set forth in the Index to Exhibits on page </w:t>
      </w:r>
      <w:hyperlink w:anchor="page87">
        <w:r>
          <w:rPr>
            <w:rFonts w:ascii="Times New Roman" w:cs="Times New Roman" w:eastAsia="Times New Roman" w:hAnsi="Times New Roman"/>
            <w:sz w:val="16"/>
            <w:szCs w:val="16"/>
            <w:color w:val="0000FF"/>
          </w:rPr>
          <w:t>86</w:t>
        </w:r>
        <w:r>
          <w:rPr>
            <w:rFonts w:ascii="Times New Roman" w:cs="Times New Roman" w:eastAsia="Times New Roman" w:hAnsi="Times New Roman"/>
            <w:sz w:val="16"/>
            <w:szCs w:val="16"/>
            <w:color w:val="auto"/>
          </w:rPr>
          <w:t xml:space="preserve"> </w:t>
        </w:r>
      </w:hyperlink>
      <w:r>
        <w:rPr>
          <w:rFonts w:ascii="Times New Roman" w:cs="Times New Roman" w:eastAsia="Times New Roman" w:hAnsi="Times New Roman"/>
          <w:sz w:val="16"/>
          <w:szCs w:val="16"/>
          <w:color w:val="auto"/>
        </w:rPr>
        <w:t>of this Annual Report on Form 10-K.</w:t>
      </w:r>
    </w:p>
    <w:p>
      <w:pPr>
        <w:spacing w:after="0" w:line="154" w:lineRule="exact"/>
        <w:rPr>
          <w:rFonts w:ascii="Times New Roman" w:cs="Times New Roman" w:eastAsia="Times New Roman" w:hAnsi="Times New Roman"/>
          <w:sz w:val="16"/>
          <w:szCs w:val="16"/>
          <w:color w:val="auto"/>
        </w:rPr>
      </w:pPr>
    </w:p>
    <w:p>
      <w:pPr>
        <w:ind w:left="1260" w:hanging="634"/>
        <w:spacing w:after="0"/>
        <w:tabs>
          <w:tab w:leader="none" w:pos="1260" w:val="left"/>
        </w:tabs>
        <w:numPr>
          <w:ilvl w:val="0"/>
          <w:numId w:val="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Exhibits</w:t>
      </w:r>
    </w:p>
    <w:p>
      <w:pPr>
        <w:spacing w:after="0" w:line="18" w:lineRule="exact"/>
        <w:rPr>
          <w:rFonts w:ascii="Times New Roman" w:cs="Times New Roman" w:eastAsia="Times New Roman" w:hAnsi="Times New Roman"/>
          <w:sz w:val="16"/>
          <w:szCs w:val="16"/>
          <w:b w:val="1"/>
          <w:bCs w:val="1"/>
          <w:i w:val="1"/>
          <w:iCs w:val="1"/>
          <w:color w:val="auto"/>
        </w:rPr>
      </w:pP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Index to Exhibits on Page </w:t>
      </w:r>
      <w:hyperlink w:anchor="page87">
        <w:r>
          <w:rPr>
            <w:rFonts w:ascii="Times New Roman" w:cs="Times New Roman" w:eastAsia="Times New Roman" w:hAnsi="Times New Roman"/>
            <w:sz w:val="16"/>
            <w:szCs w:val="16"/>
            <w:color w:val="0000FF"/>
          </w:rPr>
          <w:t>86</w:t>
        </w:r>
        <w:r>
          <w:rPr>
            <w:rFonts w:ascii="Times New Roman" w:cs="Times New Roman" w:eastAsia="Times New Roman" w:hAnsi="Times New Roman"/>
            <w:sz w:val="16"/>
            <w:szCs w:val="16"/>
            <w:color w:val="auto"/>
          </w:rPr>
          <w:t xml:space="preserve"> </w:t>
        </w:r>
      </w:hyperlink>
      <w:r>
        <w:rPr>
          <w:rFonts w:ascii="Times New Roman" w:cs="Times New Roman" w:eastAsia="Times New Roman" w:hAnsi="Times New Roman"/>
          <w:sz w:val="16"/>
          <w:szCs w:val="16"/>
          <w:color w:val="auto"/>
        </w:rPr>
        <w:t>of this Form 10-K.</w:t>
      </w:r>
    </w:p>
    <w:p>
      <w:pPr>
        <w:spacing w:after="0" w:line="154" w:lineRule="exact"/>
        <w:rPr>
          <w:rFonts w:ascii="Times New Roman" w:cs="Times New Roman" w:eastAsia="Times New Roman" w:hAnsi="Times New Roman"/>
          <w:sz w:val="16"/>
          <w:szCs w:val="16"/>
          <w:color w:val="auto"/>
        </w:rPr>
      </w:pPr>
    </w:p>
    <w:p>
      <w:pPr>
        <w:ind w:left="1260" w:hanging="634"/>
        <w:spacing w:after="0"/>
        <w:tabs>
          <w:tab w:leader="none" w:pos="1260" w:val="left"/>
        </w:tabs>
        <w:numPr>
          <w:ilvl w:val="0"/>
          <w:numId w:val="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Financial Statement Schedules</w:t>
      </w:r>
    </w:p>
    <w:p>
      <w:pPr>
        <w:spacing w:after="0" w:line="18" w:lineRule="exact"/>
        <w:rPr>
          <w:rFonts w:ascii="Times New Roman" w:cs="Times New Roman" w:eastAsia="Times New Roman" w:hAnsi="Times New Roman"/>
          <w:sz w:val="16"/>
          <w:szCs w:val="16"/>
          <w:b w:val="1"/>
          <w:bCs w:val="1"/>
          <w:i w:val="1"/>
          <w:iCs w:val="1"/>
          <w:color w:val="auto"/>
        </w:rPr>
      </w:pPr>
    </w:p>
    <w:p>
      <w:pPr>
        <w:ind w:left="12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There are no financial statement schedules required by Regulation S-X that have been excluded from the annual report to shareholders.</w:t>
      </w:r>
    </w:p>
    <w:p>
      <w:pPr>
        <w:spacing w:after="0" w:line="20" w:lineRule="exact"/>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column">
              <wp:posOffset>3591560</wp:posOffset>
            </wp:positionH>
            <wp:positionV relativeFrom="paragraph">
              <wp:posOffset>-1163320</wp:posOffset>
            </wp:positionV>
            <wp:extent cx="12192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4544060</wp:posOffset>
            </wp:positionH>
            <wp:positionV relativeFrom="paragraph">
              <wp:posOffset>-706120</wp:posOffset>
            </wp:positionV>
            <wp:extent cx="9906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9060" cy="7620"/>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-363220</wp:posOffset>
            </wp:positionV>
            <wp:extent cx="9906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9060" cy="7620"/>
                    </a:xfrm>
                    <a:prstGeom prst="rect">
                      <a:avLst/>
                    </a:prstGeom>
                    <a:noFill/>
                  </pic:spPr>
                </pic:pic>
              </a:graphicData>
            </a:graphic>
          </wp:anchor>
        </w:drawing>
      </w:r>
    </w:p>
    <w:p>
      <w:pPr>
        <w:spacing w:after="0" w:line="314" w:lineRule="exact"/>
        <w:rPr>
          <w:rFonts w:ascii="Times New Roman" w:cs="Times New Roman" w:eastAsia="Times New Roman" w:hAnsi="Times New Roman"/>
          <w:sz w:val="16"/>
          <w:szCs w:val="16"/>
          <w:b w:val="1"/>
          <w:bCs w:val="1"/>
          <w:i w:val="1"/>
          <w:iCs w:val="1"/>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16. </w:t>
      </w:r>
      <w:r>
        <w:rPr>
          <w:rFonts w:ascii="Times New Roman" w:cs="Times New Roman" w:eastAsia="Times New Roman" w:hAnsi="Times New Roman"/>
          <w:sz w:val="16"/>
          <w:szCs w:val="16"/>
          <w:b w:val="1"/>
          <w:bCs w:val="1"/>
          <w:i w:val="1"/>
          <w:iCs w:val="1"/>
          <w:color w:val="auto"/>
        </w:rPr>
        <w:t>FORM 10-K SUMMARY</w:t>
      </w:r>
    </w:p>
    <w:p>
      <w:pPr>
        <w:spacing w:after="0" w:line="156" w:lineRule="exact"/>
        <w:rPr>
          <w:rFonts w:ascii="Times New Roman" w:cs="Times New Roman" w:eastAsia="Times New Roman" w:hAnsi="Times New Roman"/>
          <w:sz w:val="16"/>
          <w:szCs w:val="16"/>
          <w:b w:val="1"/>
          <w:bCs w:val="1"/>
          <w:i w:val="1"/>
          <w:iCs w:val="1"/>
          <w:color w:val="auto"/>
        </w:rPr>
      </w:pPr>
    </w:p>
    <w:p>
      <w:pPr>
        <w:ind w:left="680"/>
        <w:spacing w:after="0"/>
        <w:rPr>
          <w:sz w:val="20"/>
          <w:szCs w:val="20"/>
          <w:color w:val="auto"/>
        </w:rPr>
      </w:pPr>
      <w:r>
        <w:rPr>
          <w:rFonts w:ascii="Times New Roman" w:cs="Times New Roman" w:eastAsia="Times New Roman" w:hAnsi="Times New Roman"/>
          <w:sz w:val="16"/>
          <w:szCs w:val="16"/>
          <w:color w:val="auto"/>
        </w:rPr>
        <w:t>None</w:t>
      </w:r>
    </w:p>
    <w:p>
      <w:pPr>
        <w:spacing w:after="0" w:line="92" w:lineRule="exact"/>
        <w:rPr>
          <w:rFonts w:ascii="Times New Roman" w:cs="Times New Roman" w:eastAsia="Times New Roman" w:hAnsi="Times New Roman"/>
          <w:sz w:val="16"/>
          <w:szCs w:val="16"/>
          <w:b w:val="1"/>
          <w:bCs w:val="1"/>
          <w:i w:val="1"/>
          <w:iCs w:val="1"/>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580" w:top="1419" w:right="720"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05"/>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22"/>
          </w:tcPr>
          <w:p>
            <w:pPr>
              <w:ind w:left="20"/>
              <w:spacing w:after="0"/>
              <w:rPr>
                <w:sz w:val="20"/>
                <w:szCs w:val="20"/>
                <w:color w:val="auto"/>
              </w:rPr>
            </w:pPr>
            <w:r>
              <w:rPr>
                <w:rFonts w:ascii="Times New Roman" w:cs="Times New Roman" w:eastAsia="Times New Roman" w:hAnsi="Times New Roman"/>
                <w:sz w:val="16"/>
                <w:szCs w:val="16"/>
                <w:b w:val="1"/>
                <w:bCs w:val="1"/>
                <w:color w:val="auto"/>
              </w:rPr>
              <w:t>INDEX TO EXHIBITS</w:t>
            </w:r>
          </w:p>
        </w:tc>
        <w:tc>
          <w:tcPr>
            <w:tcW w:w="0" w:type="dxa"/>
            <w:vAlign w:val="bottom"/>
          </w:tcPr>
          <w:p>
            <w:pPr>
              <w:spacing w:after="0"/>
              <w:rPr>
                <w:sz w:val="1"/>
                <w:szCs w:val="1"/>
                <w:color w:val="auto"/>
              </w:rPr>
            </w:pPr>
          </w:p>
        </w:tc>
      </w:tr>
      <w:tr>
        <w:trPr>
          <w:trHeight w:val="361"/>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Exhibit No.</w:t>
            </w: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ind w:left="100"/>
              <w:spacing w:after="0" w:line="169" w:lineRule="exact"/>
              <w:rPr>
                <w:sz w:val="20"/>
                <w:szCs w:val="20"/>
                <w:color w:val="auto"/>
              </w:rPr>
            </w:pPr>
            <w:r>
              <w:rPr>
                <w:rFonts w:ascii="Times New Roman" w:cs="Times New Roman" w:eastAsia="Times New Roman" w:hAnsi="Times New Roman"/>
                <w:sz w:val="16"/>
                <w:szCs w:val="16"/>
                <w:color w:val="auto"/>
              </w:rPr>
              <w:t>2.1</w:t>
            </w:r>
          </w:p>
        </w:tc>
        <w:tc>
          <w:tcPr>
            <w:tcW w:w="9440" w:type="dxa"/>
            <w:vAlign w:val="bottom"/>
            <w:gridSpan w:val="27"/>
          </w:tcPr>
          <w:p>
            <w:pPr>
              <w:spacing w:after="0" w:line="169" w:lineRule="exact"/>
              <w:rPr>
                <w:rFonts w:ascii="Times New Roman" w:cs="Times New Roman" w:eastAsia="Times New Roman" w:hAnsi="Times New Roman"/>
                <w:sz w:val="16"/>
                <w:szCs w:val="16"/>
                <w:color w:val="0000FF"/>
                <w:w w:val="99"/>
              </w:rPr>
            </w:pPr>
            <w:hyperlink r:id="rId123">
              <w:r>
                <w:rPr>
                  <w:rFonts w:ascii="Times New Roman" w:cs="Times New Roman" w:eastAsia="Times New Roman" w:hAnsi="Times New Roman"/>
                  <w:sz w:val="16"/>
                  <w:szCs w:val="16"/>
                  <w:color w:val="0000FF"/>
                  <w:w w:val="99"/>
                </w:rPr>
                <w:t>Agreement and Plan of Reorganization and Merger by and among CVB Financial Corp., Citizens Business Bank and Suncrest Bank, dated July 27,</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3.1</w:t>
            </w:r>
          </w:p>
        </w:tc>
        <w:tc>
          <w:tcPr>
            <w:tcW w:w="2500" w:type="dxa"/>
            <w:vAlign w:val="bottom"/>
            <w:tcBorders>
              <w:top w:val="single" w:sz="8" w:color="0000EE"/>
            </w:tcBorders>
            <w:gridSpan w:val="2"/>
          </w:tcPr>
          <w:p>
            <w:pPr>
              <w:spacing w:after="0" w:line="160"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2021 (1)</w:t>
              </w:r>
            </w:hyperlink>
          </w:p>
        </w:tc>
        <w:tc>
          <w:tcPr>
            <w:tcW w:w="8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7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58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5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8"/>
              </w:rPr>
            </w:pPr>
            <w:hyperlink r:id="rId124">
              <w:r>
                <w:rPr>
                  <w:rFonts w:ascii="Times New Roman" w:cs="Times New Roman" w:eastAsia="Times New Roman" w:hAnsi="Times New Roman"/>
                  <w:sz w:val="16"/>
                  <w:szCs w:val="16"/>
                  <w:color w:val="0000FF"/>
                  <w:w w:val="98"/>
                </w:rPr>
                <w:t>Articles</w:t>
              </w:r>
            </w:hyperlink>
          </w:p>
        </w:tc>
        <w:tc>
          <w:tcPr>
            <w:tcW w:w="3600" w:type="dxa"/>
            <w:vAlign w:val="bottom"/>
            <w:tcBorders>
              <w:bottom w:val="single" w:sz="8" w:color="0000EE"/>
            </w:tcBorders>
            <w:gridSpan w:val="9"/>
          </w:tcPr>
          <w:p>
            <w:pPr>
              <w:spacing w:after="0" w:line="160" w:lineRule="exact"/>
              <w:rPr>
                <w:rFonts w:ascii="Times New Roman" w:cs="Times New Roman" w:eastAsia="Times New Roman" w:hAnsi="Times New Roman"/>
                <w:sz w:val="16"/>
                <w:szCs w:val="16"/>
                <w:color w:val="0000FF"/>
                <w:w w:val="97"/>
              </w:rPr>
            </w:pPr>
            <w:hyperlink r:id="rId124">
              <w:r>
                <w:rPr>
                  <w:rFonts w:ascii="Times New Roman" w:cs="Times New Roman" w:eastAsia="Times New Roman" w:hAnsi="Times New Roman"/>
                  <w:sz w:val="16"/>
                  <w:szCs w:val="16"/>
                  <w:color w:val="0000FF"/>
                  <w:w w:val="97"/>
                </w:rPr>
                <w:t>of Incorporation of CVB Financial Corp., as amended (2)</w:t>
              </w:r>
            </w:hyperlink>
          </w:p>
        </w:tc>
        <w:tc>
          <w:tcPr>
            <w:tcW w:w="532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3.2</w:t>
            </w:r>
          </w:p>
        </w:tc>
        <w:tc>
          <w:tcPr>
            <w:tcW w:w="9440" w:type="dxa"/>
            <w:vAlign w:val="bottom"/>
            <w:gridSpan w:val="27"/>
          </w:tcPr>
          <w:p>
            <w:pPr>
              <w:spacing w:after="0" w:line="160"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Second Amended and Restated Bylaws of CVB Financial Corp. dated September 20, 2023 (3)</w:t>
              </w:r>
            </w:hyperlink>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4.1</w:t>
            </w:r>
          </w:p>
        </w:tc>
        <w:tc>
          <w:tcPr>
            <w:tcW w:w="588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Form of CVB Financial Corp.’s Common Stock certificate (4)</w:t>
              </w:r>
            </w:hyperlink>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4.2</w:t>
            </w:r>
          </w:p>
        </w:tc>
        <w:tc>
          <w:tcPr>
            <w:tcW w:w="388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Description of CVB Financial Corp. Common Stock (5)</w:t>
              </w:r>
            </w:hyperlink>
          </w:p>
        </w:tc>
        <w:tc>
          <w:tcPr>
            <w:tcW w:w="36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10.1</w:t>
            </w:r>
          </w:p>
        </w:tc>
        <w:tc>
          <w:tcPr>
            <w:tcW w:w="350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CVB Financial Corp. 401(k) &amp; Profit Sharing Plan, as</w:t>
              </w:r>
            </w:hyperlink>
          </w:p>
        </w:tc>
        <w:tc>
          <w:tcPr>
            <w:tcW w:w="5940" w:type="dxa"/>
            <w:vAlign w:val="bottom"/>
            <w:gridSpan w:val="21"/>
          </w:tcPr>
          <w:p>
            <w:pPr>
              <w:spacing w:after="0" w:line="160"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amended†(6)</w:t>
              </w:r>
            </w:hyperlink>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10.2</w:t>
            </w:r>
          </w:p>
        </w:tc>
        <w:tc>
          <w:tcPr>
            <w:tcW w:w="250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6"/>
              </w:rPr>
            </w:pPr>
            <w:hyperlink r:id="rId129">
              <w:r>
                <w:rPr>
                  <w:rFonts w:ascii="Times New Roman" w:cs="Times New Roman" w:eastAsia="Times New Roman" w:hAnsi="Times New Roman"/>
                  <w:sz w:val="16"/>
                  <w:szCs w:val="16"/>
                  <w:color w:val="0000FF"/>
                  <w:w w:val="96"/>
                </w:rPr>
                <w:t>Form of Indemnification Agreement (7)</w:t>
              </w:r>
            </w:hyperlink>
          </w:p>
        </w:tc>
        <w:tc>
          <w:tcPr>
            <w:tcW w:w="1740" w:type="dxa"/>
            <w:vAlign w:val="bottom"/>
            <w:tcBorders>
              <w:top w:val="single" w:sz="8" w:color="0000EE"/>
            </w:tcBorders>
            <w:gridSpan w:val="9"/>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10.3(a)</w:t>
            </w:r>
          </w:p>
        </w:tc>
        <w:tc>
          <w:tcPr>
            <w:tcW w:w="9440" w:type="dxa"/>
            <w:vAlign w:val="bottom"/>
            <w:gridSpan w:val="27"/>
          </w:tcPr>
          <w:p>
            <w:pPr>
              <w:spacing w:after="0" w:line="160"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CVB Financial Corp. 2008 Equity Incentive Plan†(8)</w:t>
              </w:r>
            </w:hyperlink>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10.3(b)</w:t>
            </w:r>
          </w:p>
        </w:tc>
        <w:tc>
          <w:tcPr>
            <w:tcW w:w="334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FF"/>
                <w:w w:val="99"/>
              </w:rPr>
            </w:pPr>
            <w:hyperlink r:id="rId131">
              <w:r>
                <w:rPr>
                  <w:rFonts w:ascii="Times New Roman" w:cs="Times New Roman" w:eastAsia="Times New Roman" w:hAnsi="Times New Roman"/>
                  <w:sz w:val="16"/>
                  <w:szCs w:val="16"/>
                  <w:color w:val="0000FF"/>
                  <w:w w:val="99"/>
                </w:rPr>
                <w:t>CVB Financial Corp. Amendment No. 1 to the 2008</w:t>
              </w:r>
            </w:hyperlink>
          </w:p>
        </w:tc>
        <w:tc>
          <w:tcPr>
            <w:tcW w:w="6100" w:type="dxa"/>
            <w:vAlign w:val="bottom"/>
            <w:gridSpan w:val="24"/>
          </w:tcPr>
          <w:p>
            <w:pPr>
              <w:spacing w:after="0" w:line="160"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Equity Incentive Plan†(9)</w:t>
              </w:r>
            </w:hyperlink>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10.3(c)</w:t>
            </w:r>
          </w:p>
        </w:tc>
        <w:tc>
          <w:tcPr>
            <w:tcW w:w="4920" w:type="dxa"/>
            <w:vAlign w:val="bottom"/>
            <w:tcBorders>
              <w:top w:val="single" w:sz="8" w:color="0000EE"/>
              <w:bottom w:val="single" w:sz="8" w:color="0000EE"/>
            </w:tcBorders>
            <w:gridSpan w:val="15"/>
          </w:tcPr>
          <w:p>
            <w:pPr>
              <w:spacing w:after="0" w:line="160" w:lineRule="exact"/>
              <w:rPr>
                <w:rFonts w:ascii="Times New Roman" w:cs="Times New Roman" w:eastAsia="Times New Roman" w:hAnsi="Times New Roman"/>
                <w:sz w:val="16"/>
                <w:szCs w:val="16"/>
                <w:color w:val="0000FF"/>
                <w:w w:val="95"/>
              </w:rPr>
            </w:pPr>
            <w:hyperlink r:id="rId132">
              <w:r>
                <w:rPr>
                  <w:rFonts w:ascii="Times New Roman" w:cs="Times New Roman" w:eastAsia="Times New Roman" w:hAnsi="Times New Roman"/>
                  <w:sz w:val="16"/>
                  <w:szCs w:val="16"/>
                  <w:color w:val="0000FF"/>
                  <w:w w:val="95"/>
                </w:rPr>
                <w:t>CVB Financial Corp. Amendment No. 2 to the 2008 Equity Incentive Plan†(10)</w:t>
              </w:r>
            </w:hyperlink>
          </w:p>
        </w:tc>
        <w:tc>
          <w:tcPr>
            <w:tcW w:w="60" w:type="dxa"/>
            <w:vAlign w:val="bottom"/>
            <w:tcBorders>
              <w:bottom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10.3(d)</w:t>
            </w:r>
          </w:p>
        </w:tc>
        <w:tc>
          <w:tcPr>
            <w:tcW w:w="498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FF"/>
                <w:w w:val="96"/>
              </w:rPr>
            </w:pPr>
            <w:hyperlink r:id="rId133">
              <w:r>
                <w:rPr>
                  <w:rFonts w:ascii="Times New Roman" w:cs="Times New Roman" w:eastAsia="Times New Roman" w:hAnsi="Times New Roman"/>
                  <w:sz w:val="16"/>
                  <w:szCs w:val="16"/>
                  <w:color w:val="0000FF"/>
                  <w:w w:val="96"/>
                </w:rPr>
                <w:t>CVB Financial Corp. Amendment No. 3 to the 2008 Equity Incentive Plan†(11)</w:t>
              </w:r>
            </w:hyperlink>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10.3(e)</w:t>
            </w:r>
          </w:p>
        </w:tc>
        <w:tc>
          <w:tcPr>
            <w:tcW w:w="498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FF"/>
                <w:w w:val="96"/>
              </w:rPr>
            </w:pPr>
            <w:hyperlink r:id="rId134">
              <w:r>
                <w:rPr>
                  <w:rFonts w:ascii="Times New Roman" w:cs="Times New Roman" w:eastAsia="Times New Roman" w:hAnsi="Times New Roman"/>
                  <w:sz w:val="16"/>
                  <w:szCs w:val="16"/>
                  <w:color w:val="0000FF"/>
                  <w:w w:val="96"/>
                </w:rPr>
                <w:t>CVB Financial Corp. Amendment No. 4 to the 2008 Equity Incentive Plan†(12)</w:t>
              </w:r>
            </w:hyperlink>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10.3(f)</w:t>
            </w:r>
          </w:p>
        </w:tc>
        <w:tc>
          <w:tcPr>
            <w:tcW w:w="498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FF"/>
                <w:w w:val="96"/>
              </w:rPr>
            </w:pPr>
            <w:hyperlink r:id="rId135">
              <w:r>
                <w:rPr>
                  <w:rFonts w:ascii="Times New Roman" w:cs="Times New Roman" w:eastAsia="Times New Roman" w:hAnsi="Times New Roman"/>
                  <w:sz w:val="16"/>
                  <w:szCs w:val="16"/>
                  <w:color w:val="0000FF"/>
                  <w:w w:val="96"/>
                </w:rPr>
                <w:t>CVB Financial Corp. Amendment No. 5 to the 2008 Equity Incentive Plan†(13)</w:t>
              </w:r>
            </w:hyperlink>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10.3(g)</w:t>
            </w:r>
          </w:p>
        </w:tc>
        <w:tc>
          <w:tcPr>
            <w:tcW w:w="9440" w:type="dxa"/>
            <w:vAlign w:val="bottom"/>
            <w:gridSpan w:val="27"/>
          </w:tcPr>
          <w:p>
            <w:pPr>
              <w:spacing w:after="0" w:line="160"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Form of Notice of Non-Qualified Stock Option Grant and Agreement pursuant to the 2008 Equity Incentive Plan†(14)</w:t>
              </w:r>
            </w:hyperlink>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10.3(h)</w:t>
            </w:r>
          </w:p>
        </w:tc>
        <w:tc>
          <w:tcPr>
            <w:tcW w:w="738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Form of Notice of Grant and Restricted Stock Agreement pursuant to the 2008 Equity Incentive Plan†(15)</w:t>
              </w:r>
            </w:hyperlink>
          </w:p>
        </w:tc>
        <w:tc>
          <w:tcPr>
            <w:tcW w:w="260" w:type="dxa"/>
            <w:vAlign w:val="bottom"/>
          </w:tcPr>
          <w:p>
            <w:pPr>
              <w:spacing w:after="0"/>
              <w:rPr>
                <w:sz w:val="13"/>
                <w:szCs w:val="13"/>
                <w:color w:val="auto"/>
              </w:rPr>
            </w:pPr>
          </w:p>
        </w:tc>
        <w:tc>
          <w:tcPr>
            <w:tcW w:w="1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10.4(a)</w:t>
            </w:r>
          </w:p>
        </w:tc>
        <w:tc>
          <w:tcPr>
            <w:tcW w:w="662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CVB Financial Corp. 2018 Equity Incentive Plan†(16)</w:t>
              </w:r>
            </w:hyperlink>
          </w:p>
        </w:tc>
        <w:tc>
          <w:tcPr>
            <w:tcW w:w="1020" w:type="dxa"/>
            <w:vAlign w:val="bottom"/>
            <w:gridSpan w:val="2"/>
          </w:tcPr>
          <w:p>
            <w:pPr>
              <w:spacing w:after="0"/>
              <w:rPr>
                <w:sz w:val="13"/>
                <w:szCs w:val="13"/>
                <w:color w:val="auto"/>
              </w:rPr>
            </w:pPr>
          </w:p>
        </w:tc>
        <w:tc>
          <w:tcPr>
            <w:tcW w:w="1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10.4(b)</w:t>
            </w:r>
          </w:p>
        </w:tc>
        <w:tc>
          <w:tcPr>
            <w:tcW w:w="340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w w:val="99"/>
              </w:rPr>
            </w:pPr>
            <w:hyperlink r:id="rId139">
              <w:r>
                <w:rPr>
                  <w:rFonts w:ascii="Times New Roman" w:cs="Times New Roman" w:eastAsia="Times New Roman" w:hAnsi="Times New Roman"/>
                  <w:sz w:val="16"/>
                  <w:szCs w:val="16"/>
                  <w:color w:val="0000FF"/>
                  <w:w w:val="99"/>
                </w:rPr>
                <w:t>Form of Stock Option Agreement under 2018 Equity</w:t>
              </w:r>
            </w:hyperlink>
          </w:p>
        </w:tc>
        <w:tc>
          <w:tcPr>
            <w:tcW w:w="6040" w:type="dxa"/>
            <w:vAlign w:val="bottom"/>
            <w:gridSpan w:val="22"/>
          </w:tcPr>
          <w:p>
            <w:pPr>
              <w:spacing w:after="0" w:line="160"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Incentive Plan†(17)</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ind w:left="100"/>
              <w:spacing w:after="0" w:line="180" w:lineRule="exact"/>
              <w:rPr>
                <w:sz w:val="20"/>
                <w:szCs w:val="20"/>
                <w:color w:val="auto"/>
              </w:rPr>
            </w:pPr>
            <w:r>
              <w:rPr>
                <w:rFonts w:ascii="Times New Roman" w:cs="Times New Roman" w:eastAsia="Times New Roman" w:hAnsi="Times New Roman"/>
                <w:sz w:val="16"/>
                <w:szCs w:val="16"/>
                <w:color w:val="auto"/>
              </w:rPr>
              <w:t>10.4(c)</w:t>
            </w:r>
          </w:p>
        </w:tc>
        <w:tc>
          <w:tcPr>
            <w:tcW w:w="338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478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FF"/>
                <w:w w:val="97"/>
              </w:rPr>
            </w:pPr>
            <w:hyperlink r:id="rId140">
              <w:r>
                <w:rPr>
                  <w:rFonts w:ascii="Times New Roman" w:cs="Times New Roman" w:eastAsia="Times New Roman" w:hAnsi="Times New Roman"/>
                  <w:sz w:val="16"/>
                  <w:szCs w:val="16"/>
                  <w:color w:val="0000FF"/>
                  <w:w w:val="97"/>
                </w:rPr>
                <w:t>Form of Restricted Stock Agreement under 2018 Equity Incentive Plan†(18)</w:t>
              </w:r>
            </w:hyperlink>
          </w:p>
        </w:tc>
        <w:tc>
          <w:tcPr>
            <w:tcW w:w="46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10.4(d)</w:t>
            </w:r>
          </w:p>
        </w:tc>
        <w:tc>
          <w:tcPr>
            <w:tcW w:w="9440" w:type="dxa"/>
            <w:vAlign w:val="bottom"/>
            <w:gridSpan w:val="27"/>
          </w:tcPr>
          <w:p>
            <w:pPr>
              <w:spacing w:after="0" w:line="160"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Form of Restricted Stock Unit Agreement under 2018 Equity Incentive Plan†(19)</w:t>
              </w:r>
            </w:hyperlink>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10.5(a)</w:t>
            </w:r>
          </w:p>
        </w:tc>
        <w:tc>
          <w:tcPr>
            <w:tcW w:w="508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w w:val="95"/>
              </w:rPr>
            </w:pPr>
            <w:hyperlink r:id="rId142">
              <w:r>
                <w:rPr>
                  <w:rFonts w:ascii="Times New Roman" w:cs="Times New Roman" w:eastAsia="Times New Roman" w:hAnsi="Times New Roman"/>
                  <w:sz w:val="16"/>
                  <w:szCs w:val="16"/>
                  <w:color w:val="0000FF"/>
                  <w:w w:val="95"/>
                </w:rPr>
                <w:t>The Executive Non Qualified Excess Plan(SM) Plan Document effective February</w:t>
              </w:r>
            </w:hyperlink>
          </w:p>
        </w:tc>
        <w:tc>
          <w:tcPr>
            <w:tcW w:w="4360" w:type="dxa"/>
            <w:vAlign w:val="bottom"/>
            <w:gridSpan w:val="10"/>
          </w:tcPr>
          <w:p>
            <w:pPr>
              <w:ind w:left="100"/>
              <w:spacing w:after="0" w:line="160"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21, 2007†(20)</w:t>
              </w:r>
            </w:hyperlink>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10.5(b)</w:t>
            </w:r>
          </w:p>
        </w:tc>
        <w:tc>
          <w:tcPr>
            <w:tcW w:w="606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CVB Financial Corp. Deferred Compensation Plan effective December 1, 2020†(23)</w:t>
              </w:r>
            </w:hyperlink>
          </w:p>
        </w:tc>
        <w:tc>
          <w:tcPr>
            <w:tcW w:w="1580" w:type="dxa"/>
            <w:vAlign w:val="bottom"/>
            <w:gridSpan w:val="3"/>
          </w:tcPr>
          <w:p>
            <w:pPr>
              <w:spacing w:after="0"/>
              <w:rPr>
                <w:sz w:val="13"/>
                <w:szCs w:val="13"/>
                <w:color w:val="auto"/>
              </w:rPr>
            </w:pPr>
          </w:p>
        </w:tc>
        <w:tc>
          <w:tcPr>
            <w:tcW w:w="1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10.6</w:t>
            </w:r>
          </w:p>
        </w:tc>
        <w:tc>
          <w:tcPr>
            <w:tcW w:w="362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r:id="rId144">
              <w:r>
                <w:rPr>
                  <w:rFonts w:ascii="Times New Roman" w:cs="Times New Roman" w:eastAsia="Times New Roman" w:hAnsi="Times New Roman"/>
                  <w:sz w:val="16"/>
                  <w:szCs w:val="16"/>
                  <w:color w:val="0000FF"/>
                  <w:w w:val="97"/>
                </w:rPr>
                <w:t>CVB Financial Corp. 2015 Executive Incentive Plan†(21)</w:t>
              </w:r>
            </w:hyperlink>
          </w:p>
        </w:tc>
        <w:tc>
          <w:tcPr>
            <w:tcW w:w="1660" w:type="dxa"/>
            <w:vAlign w:val="bottom"/>
            <w:tcBorders>
              <w:top w:val="single" w:sz="8" w:color="0000EE"/>
            </w:tcBorders>
            <w:gridSpan w:val="11"/>
          </w:tcPr>
          <w:p>
            <w:pPr>
              <w:spacing w:after="0"/>
              <w:rPr>
                <w:sz w:val="13"/>
                <w:szCs w:val="13"/>
                <w:color w:val="auto"/>
              </w:rPr>
            </w:pPr>
          </w:p>
        </w:tc>
        <w:tc>
          <w:tcPr>
            <w:tcW w:w="2360" w:type="dxa"/>
            <w:vAlign w:val="bottom"/>
            <w:gridSpan w:val="5"/>
          </w:tcPr>
          <w:p>
            <w:pPr>
              <w:spacing w:after="0"/>
              <w:rPr>
                <w:sz w:val="13"/>
                <w:szCs w:val="13"/>
                <w:color w:val="auto"/>
              </w:rPr>
            </w:pPr>
          </w:p>
        </w:tc>
        <w:tc>
          <w:tcPr>
            <w:tcW w:w="1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10.11</w:t>
            </w:r>
          </w:p>
        </w:tc>
        <w:tc>
          <w:tcPr>
            <w:tcW w:w="9440" w:type="dxa"/>
            <w:vAlign w:val="bottom"/>
            <w:tcBorders>
              <w:bottom w:val="single" w:sz="8" w:color="0000EE"/>
            </w:tcBorders>
            <w:gridSpan w:val="27"/>
          </w:tcPr>
          <w:p>
            <w:pPr>
              <w:spacing w:after="0" w:line="160" w:lineRule="exact"/>
              <w:rPr>
                <w:rFonts w:ascii="Times New Roman" w:cs="Times New Roman" w:eastAsia="Times New Roman" w:hAnsi="Times New Roman"/>
                <w:sz w:val="16"/>
                <w:szCs w:val="16"/>
                <w:color w:val="0000FF"/>
                <w:w w:val="98"/>
              </w:rPr>
            </w:pPr>
            <w:hyperlink r:id="rId145">
              <w:r>
                <w:rPr>
                  <w:rFonts w:ascii="Times New Roman" w:cs="Times New Roman" w:eastAsia="Times New Roman" w:hAnsi="Times New Roman"/>
                  <w:sz w:val="16"/>
                  <w:szCs w:val="16"/>
                  <w:color w:val="0000FF"/>
                  <w:w w:val="98"/>
                </w:rPr>
                <w:t>Form of Severance Compensation Agreement by and between each of Yamynn De Angelis, David Farnsworth, David C. Harvey, E. Allen Nicholson,</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10.12</w:t>
            </w:r>
          </w:p>
        </w:tc>
        <w:tc>
          <w:tcPr>
            <w:tcW w:w="9440" w:type="dxa"/>
            <w:vAlign w:val="bottom"/>
            <w:gridSpan w:val="27"/>
          </w:tcPr>
          <w:p>
            <w:pPr>
              <w:spacing w:after="0" w:line="160"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Richard Wohl and Citizens Business Bank, effective March 1, 2022.† (22)</w:t>
              </w:r>
            </w:hyperlink>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472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CVB Financial Corp. 2023 Executive Incentive Plan †(24)</w:t>
              </w:r>
            </w:hyperlink>
          </w:p>
        </w:tc>
        <w:tc>
          <w:tcPr>
            <w:tcW w:w="2920" w:type="dxa"/>
            <w:vAlign w:val="bottom"/>
            <w:gridSpan w:val="10"/>
          </w:tcPr>
          <w:p>
            <w:pPr>
              <w:spacing w:after="0"/>
              <w:rPr>
                <w:sz w:val="13"/>
                <w:szCs w:val="13"/>
                <w:color w:val="auto"/>
              </w:rPr>
            </w:pPr>
          </w:p>
        </w:tc>
        <w:tc>
          <w:tcPr>
            <w:tcW w:w="1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10.13</w:t>
            </w:r>
          </w:p>
        </w:tc>
        <w:tc>
          <w:tcPr>
            <w:tcW w:w="370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FF"/>
                <w:w w:val="96"/>
              </w:rPr>
            </w:pPr>
            <w:hyperlink r:id="rId147">
              <w:r>
                <w:rPr>
                  <w:rFonts w:ascii="Times New Roman" w:cs="Times New Roman" w:eastAsia="Times New Roman" w:hAnsi="Times New Roman"/>
                  <w:sz w:val="16"/>
                  <w:szCs w:val="16"/>
                  <w:color w:val="0000FF"/>
                  <w:w w:val="96"/>
                </w:rPr>
                <w:t>Second Amended and Restated Employment Agreement by</w:t>
              </w:r>
            </w:hyperlink>
          </w:p>
        </w:tc>
        <w:tc>
          <w:tcPr>
            <w:tcW w:w="5740" w:type="dxa"/>
            <w:vAlign w:val="bottom"/>
            <w:gridSpan w:val="19"/>
          </w:tcPr>
          <w:p>
            <w:pPr>
              <w:ind w:left="40"/>
              <w:spacing w:after="0" w:line="160" w:lineRule="exact"/>
              <w:rPr>
                <w:rFonts w:ascii="Times New Roman" w:cs="Times New Roman" w:eastAsia="Times New Roman" w:hAnsi="Times New Roman"/>
                <w:sz w:val="16"/>
                <w:szCs w:val="16"/>
                <w:color w:val="0000FF"/>
                <w:w w:val="98"/>
              </w:rPr>
            </w:pPr>
            <w:hyperlink r:id="rId147">
              <w:r>
                <w:rPr>
                  <w:rFonts w:ascii="Times New Roman" w:cs="Times New Roman" w:eastAsia="Times New Roman" w:hAnsi="Times New Roman"/>
                  <w:sz w:val="16"/>
                  <w:szCs w:val="16"/>
                  <w:color w:val="0000FF"/>
                  <w:w w:val="98"/>
                </w:rPr>
                <w:t>and among CVB Financial Corp. and Citizens Business Bank, on the one hand, and David</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10.14</w:t>
            </w:r>
          </w:p>
        </w:tc>
        <w:tc>
          <w:tcPr>
            <w:tcW w:w="942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A. Brager, on the other hand, dated July 1, 2024.†(25)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338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w w:val="97"/>
              </w:rPr>
            </w:pPr>
            <w:hyperlink r:id="rId148">
              <w:r>
                <w:rPr>
                  <w:rFonts w:ascii="Times New Roman" w:cs="Times New Roman" w:eastAsia="Times New Roman" w:hAnsi="Times New Roman"/>
                  <w:sz w:val="16"/>
                  <w:szCs w:val="16"/>
                  <w:color w:val="0000FF"/>
                  <w:w w:val="97"/>
                </w:rPr>
                <w:t>Form of Employment Agreement by and among CVB</w:t>
              </w:r>
            </w:hyperlink>
          </w:p>
        </w:tc>
        <w:tc>
          <w:tcPr>
            <w:tcW w:w="6060" w:type="dxa"/>
            <w:vAlign w:val="bottom"/>
            <w:gridSpan w:val="23"/>
          </w:tcPr>
          <w:p>
            <w:pPr>
              <w:ind w:left="20"/>
              <w:spacing w:after="0" w:line="160" w:lineRule="exact"/>
              <w:rPr>
                <w:rFonts w:ascii="Times New Roman" w:cs="Times New Roman" w:eastAsia="Times New Roman" w:hAnsi="Times New Roman"/>
                <w:sz w:val="16"/>
                <w:szCs w:val="16"/>
                <w:color w:val="0000FF"/>
                <w:w w:val="99"/>
              </w:rPr>
            </w:pPr>
            <w:hyperlink r:id="rId148">
              <w:r>
                <w:rPr>
                  <w:rFonts w:ascii="Times New Roman" w:cs="Times New Roman" w:eastAsia="Times New Roman" w:hAnsi="Times New Roman"/>
                  <w:sz w:val="16"/>
                  <w:szCs w:val="16"/>
                  <w:color w:val="0000FF"/>
                  <w:w w:val="99"/>
                </w:rPr>
                <w:t>Financial Corp. and Citizens Business Bank, on the one hand, and each of E. Allen Nicholson,</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32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David F. Farnsworth, David C. Harvey, and Richard H. Wohl, respectively, on the other hand, effective July 2, 2024.†(26)</w:t>
              </w:r>
            </w:hyperlink>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80" w:hanging="966"/>
        <w:spacing w:after="0"/>
        <w:tabs>
          <w:tab w:leader="none" w:pos="1080" w:val="left"/>
        </w:tabs>
        <w:numPr>
          <w:ilvl w:val="0"/>
          <w:numId w:val="8"/>
        </w:numPr>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CVB Financial Corp. Insider Trading Policy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-9525</wp:posOffset>
            </wp:positionV>
            <wp:extent cx="183705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1837055" cy="7620"/>
                    </a:xfrm>
                    <a:prstGeom prst="rect">
                      <a:avLst/>
                    </a:prstGeom>
                    <a:noFill/>
                  </pic:spPr>
                </pic:pic>
              </a:graphicData>
            </a:graphic>
          </wp:anchor>
        </w:drawing>
      </w:r>
    </w:p>
    <w:p>
      <w:pPr>
        <w:ind w:left="1080" w:hanging="966"/>
        <w:spacing w:after="0"/>
        <w:tabs>
          <w:tab w:leader="none" w:pos="1080" w:val="left"/>
        </w:tabs>
        <w:numPr>
          <w:ilvl w:val="0"/>
          <w:numId w:val="9"/>
        </w:numPr>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Subsidiaries of the Company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-17780</wp:posOffset>
            </wp:positionV>
            <wp:extent cx="121983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1219835" cy="7620"/>
                    </a:xfrm>
                    <a:prstGeom prst="rect">
                      <a:avLst/>
                    </a:prstGeom>
                    <a:noFill/>
                  </pic:spPr>
                </pic:pic>
              </a:graphicData>
            </a:graphic>
          </wp:anchor>
        </w:drawing>
      </w:r>
    </w:p>
    <w:p>
      <w:pPr>
        <w:ind w:left="1080" w:hanging="966"/>
        <w:spacing w:after="0" w:line="197" w:lineRule="auto"/>
        <w:tabs>
          <w:tab w:leader="none" w:pos="1080" w:val="left"/>
        </w:tabs>
        <w:numPr>
          <w:ilvl w:val="0"/>
          <w:numId w:val="10"/>
        </w:numPr>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Consent of KPMG LLP*</w:t>
        </w:r>
      </w:hyperlink>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9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0"/>
        </w:trPr>
        <w:tc>
          <w:tcPr>
            <w:tcW w:w="960" w:type="dxa"/>
            <w:vAlign w:val="bottom"/>
          </w:tcPr>
          <w:p>
            <w:pPr>
              <w:jc w:val="right"/>
              <w:ind w:right="622"/>
              <w:spacing w:after="0" w:line="140" w:lineRule="exact"/>
              <w:rPr>
                <w:sz w:val="20"/>
                <w:szCs w:val="20"/>
                <w:color w:val="auto"/>
              </w:rPr>
            </w:pPr>
            <w:r>
              <w:rPr>
                <w:rFonts w:ascii="Times New Roman" w:cs="Times New Roman" w:eastAsia="Times New Roman" w:hAnsi="Times New Roman"/>
                <w:sz w:val="16"/>
                <w:szCs w:val="16"/>
                <w:color w:val="auto"/>
                <w:w w:val="85"/>
              </w:rPr>
              <w:t>31.1</w:t>
            </w:r>
          </w:p>
        </w:tc>
        <w:tc>
          <w:tcPr>
            <w:tcW w:w="5840" w:type="dxa"/>
            <w:vAlign w:val="bottom"/>
            <w:tcBorders>
              <w:bottom w:val="single" w:sz="8" w:color="0000EE"/>
            </w:tcBorders>
            <w:gridSpan w:val="2"/>
          </w:tcPr>
          <w:p>
            <w:pPr>
              <w:spacing w:after="0" w:line="14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David A. Brager pursuant to Section 302 of the Sarbanes-Oxley Act of 2002*</w:t>
              </w:r>
            </w:hyperlink>
          </w:p>
        </w:tc>
        <w:tc>
          <w:tcPr>
            <w:tcW w:w="240" w:type="dxa"/>
            <w:vAlign w:val="bottom"/>
            <w:gridSpan w:val="3"/>
          </w:tcPr>
          <w:p>
            <w:pPr>
              <w:spacing w:after="0"/>
              <w:rPr>
                <w:sz w:val="12"/>
                <w:szCs w:val="12"/>
                <w:color w:val="auto"/>
              </w:rPr>
            </w:pPr>
          </w:p>
        </w:tc>
      </w:tr>
      <w:tr>
        <w:trPr>
          <w:trHeight w:val="160"/>
        </w:trPr>
        <w:tc>
          <w:tcPr>
            <w:tcW w:w="960" w:type="dxa"/>
            <w:vAlign w:val="bottom"/>
          </w:tcPr>
          <w:p>
            <w:pPr>
              <w:jc w:val="right"/>
              <w:ind w:right="622"/>
              <w:spacing w:after="0" w:line="160" w:lineRule="exact"/>
              <w:rPr>
                <w:sz w:val="20"/>
                <w:szCs w:val="20"/>
                <w:color w:val="auto"/>
              </w:rPr>
            </w:pPr>
            <w:r>
              <w:rPr>
                <w:rFonts w:ascii="Times New Roman" w:cs="Times New Roman" w:eastAsia="Times New Roman" w:hAnsi="Times New Roman"/>
                <w:sz w:val="16"/>
                <w:szCs w:val="16"/>
                <w:color w:val="auto"/>
                <w:w w:val="85"/>
              </w:rPr>
              <w:t>31.2</w:t>
            </w:r>
          </w:p>
        </w:tc>
        <w:tc>
          <w:tcPr>
            <w:tcW w:w="6080" w:type="dxa"/>
            <w:vAlign w:val="bottom"/>
            <w:gridSpan w:val="5"/>
          </w:tcPr>
          <w:p>
            <w:pPr>
              <w:spacing w:after="0" w:line="160" w:lineRule="exact"/>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Certification of E. Allen Nicholson pursuant to Section 302 of the Sarbanes-Oxley Act of 2002*</w:t>
              </w:r>
            </w:hyperlink>
          </w:p>
        </w:tc>
      </w:tr>
      <w:tr>
        <w:trPr>
          <w:trHeight w:val="160"/>
        </w:trPr>
        <w:tc>
          <w:tcPr>
            <w:tcW w:w="960" w:type="dxa"/>
            <w:vAlign w:val="bottom"/>
          </w:tcPr>
          <w:p>
            <w:pPr>
              <w:jc w:val="right"/>
              <w:ind w:right="622"/>
              <w:spacing w:after="0" w:line="160" w:lineRule="exact"/>
              <w:rPr>
                <w:sz w:val="20"/>
                <w:szCs w:val="20"/>
                <w:color w:val="auto"/>
              </w:rPr>
            </w:pPr>
            <w:r>
              <w:rPr>
                <w:rFonts w:ascii="Times New Roman" w:cs="Times New Roman" w:eastAsia="Times New Roman" w:hAnsi="Times New Roman"/>
                <w:sz w:val="16"/>
                <w:szCs w:val="16"/>
                <w:color w:val="auto"/>
                <w:w w:val="85"/>
              </w:rPr>
              <w:t>32.1</w:t>
            </w:r>
          </w:p>
        </w:tc>
        <w:tc>
          <w:tcPr>
            <w:tcW w:w="592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David A. Brager pursuant to Section 906 of the Sarbanes-Oxley Act of 2002**</w:t>
              </w:r>
            </w:hyperlink>
          </w:p>
        </w:tc>
        <w:tc>
          <w:tcPr>
            <w:tcW w:w="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960" w:type="dxa"/>
            <w:vAlign w:val="bottom"/>
          </w:tcPr>
          <w:p>
            <w:pPr>
              <w:jc w:val="right"/>
              <w:ind w:right="622"/>
              <w:spacing w:after="0" w:line="160" w:lineRule="exact"/>
              <w:rPr>
                <w:sz w:val="20"/>
                <w:szCs w:val="20"/>
                <w:color w:val="auto"/>
              </w:rPr>
            </w:pPr>
            <w:r>
              <w:rPr>
                <w:rFonts w:ascii="Times New Roman" w:cs="Times New Roman" w:eastAsia="Times New Roman" w:hAnsi="Times New Roman"/>
                <w:sz w:val="16"/>
                <w:szCs w:val="16"/>
                <w:color w:val="auto"/>
                <w:w w:val="85"/>
              </w:rPr>
              <w:t>32.2</w:t>
            </w:r>
          </w:p>
        </w:tc>
        <w:tc>
          <w:tcPr>
            <w:tcW w:w="6080" w:type="dxa"/>
            <w:vAlign w:val="bottom"/>
            <w:tcBorders>
              <w:bottom w:val="single" w:sz="8" w:color="0000EE"/>
            </w:tcBorders>
            <w:gridSpan w:val="5"/>
          </w:tcPr>
          <w:p>
            <w:pPr>
              <w:spacing w:after="0" w:line="16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E. Allen Nicholson pursuant to Section 906 of the Sarbanes-Oxley Act of 2002**</w:t>
              </w:r>
            </w:hyperlink>
          </w:p>
        </w:tc>
      </w:tr>
    </w:tbl>
    <w:p>
      <w:pPr>
        <w:ind w:left="1080" w:hanging="966"/>
        <w:spacing w:after="0"/>
        <w:tabs>
          <w:tab w:leader="none" w:pos="1080" w:val="left"/>
        </w:tabs>
        <w:numPr>
          <w:ilvl w:val="0"/>
          <w:numId w:val="11"/>
        </w:numPr>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Compensation Recoupment Policy (27)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-9525</wp:posOffset>
            </wp:positionV>
            <wp:extent cx="156273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1562735" cy="7620"/>
                    </a:xfrm>
                    <a:prstGeom prst="rect">
                      <a:avLst/>
                    </a:prstGeom>
                    <a:noFill/>
                  </pic:spPr>
                </pic:pic>
              </a:graphicData>
            </a:graphic>
          </wp:anchor>
        </w:drawing>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5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its XBRL tags are embedded within the</w:t>
            </w:r>
          </w:p>
        </w:tc>
      </w:tr>
      <w:tr>
        <w:trPr>
          <w:trHeight w:val="180"/>
        </w:trPr>
        <w:tc>
          <w:tcPr>
            <w:tcW w:w="760" w:type="dxa"/>
            <w:vAlign w:val="bottom"/>
          </w:tcPr>
          <w:p>
            <w:pPr>
              <w:spacing w:after="0"/>
              <w:rPr>
                <w:sz w:val="15"/>
                <w:szCs w:val="15"/>
                <w:color w:val="auto"/>
              </w:rPr>
            </w:pPr>
          </w:p>
        </w:tc>
        <w:tc>
          <w:tcPr>
            <w:tcW w:w="95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Inline XBRL document.</w:t>
            </w:r>
          </w:p>
        </w:tc>
      </w:tr>
      <w:tr>
        <w:trPr>
          <w:trHeight w:val="198"/>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bl>
    <w:p>
      <w:pPr>
        <w:ind w:left="1080" w:hanging="966"/>
        <w:spacing w:after="0"/>
        <w:tabs>
          <w:tab w:leader="none" w:pos="108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Annual Report on Form 10-K for the year ended December 31, 2024, has been formatted in Inline XBRL</w:t>
      </w:r>
    </w:p>
    <w:p>
      <w:pPr>
        <w:spacing w:after="0" w:line="15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Filed herewith.</w:t>
      </w:r>
    </w:p>
    <w:p>
      <w:pPr>
        <w:spacing w:after="0" w:line="14" w:lineRule="exact"/>
        <w:rPr>
          <w:rFonts w:ascii="Times New Roman" w:cs="Times New Roman" w:eastAsia="Times New Roman" w:hAnsi="Times New Roman"/>
          <w:sz w:val="16"/>
          <w:szCs w:val="16"/>
          <w:color w:val="auto"/>
        </w:rPr>
      </w:pPr>
    </w:p>
    <w:p>
      <w:pPr>
        <w:ind w:left="640" w:hanging="634"/>
        <w:spacing w:after="0" w:line="234" w:lineRule="auto"/>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ind w:left="640" w:hanging="634"/>
        <w:spacing w:after="0" w:line="235" w:lineRule="auto"/>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compensation plan.</w:t>
      </w:r>
    </w:p>
    <w:p>
      <w:pPr>
        <w:spacing w:after="0" w:line="1" w:lineRule="exact"/>
        <w:rPr>
          <w:sz w:val="20"/>
          <w:szCs w:val="20"/>
          <w:color w:val="auto"/>
        </w:rPr>
      </w:pPr>
    </w:p>
    <w:p>
      <w:pPr>
        <w:ind w:left="700" w:right="3960" w:hanging="694"/>
        <w:spacing w:after="0" w:line="238" w:lineRule="auto"/>
        <w:tabs>
          <w:tab w:leader="none" w:pos="62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noted below, Form 8-A12G, Form 8-K, Form 10-Q, Form 10-K and Form DEF 14A identified in the exhibit index have SEC file number 001-10140.</w:t>
      </w:r>
    </w:p>
    <w:p>
      <w:pPr>
        <w:spacing w:after="0" w:line="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19" w:right="7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color w:val="auto"/>
        </w:rPr>
        <w:t>(1)Incorporated herein by reference to Exhibit 2.1 to our Form 8-K filed with the SEC on July 28,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(2)Incorporated herein by reference to Exhibit 3.1 to our Form 10-Q filed with the SEC on August 9, 2010.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(3)Incorporated herein by reference to Exhibits 3.1 to our Form 8-K filed with the SEC on September 21, 2023.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(4)Incorporated herein by reference to Exhibit 4.1 to our Form 8-A12G filed with the SEC on June 11, 2001.</w:t>
      </w:r>
    </w:p>
    <w:p>
      <w:pPr>
        <w:spacing w:after="0"/>
        <w:rPr>
          <w:sz w:val="20"/>
          <w:szCs w:val="20"/>
          <w:color w:val="auto"/>
        </w:rPr>
      </w:pPr>
      <w:r>
        <w:rPr>
          <w:rFonts w:ascii="Times New Roman" w:cs="Times New Roman" w:eastAsia="Times New Roman" w:hAnsi="Times New Roman"/>
          <w:sz w:val="16"/>
          <w:szCs w:val="16"/>
          <w:color w:val="auto"/>
        </w:rPr>
        <w:t>(5)Incorporated herein by reference to Exhibit 4.2 to our Annual Report on Form 10-K filed with the SEC on March 2, 2020.</w:t>
      </w:r>
    </w:p>
    <w:p>
      <w:pPr>
        <w:spacing w:after="0" w:line="234" w:lineRule="auto"/>
        <w:rPr>
          <w:sz w:val="20"/>
          <w:szCs w:val="20"/>
          <w:color w:val="auto"/>
        </w:rPr>
      </w:pPr>
      <w:r>
        <w:rPr>
          <w:rFonts w:ascii="Times New Roman" w:cs="Times New Roman" w:eastAsia="Times New Roman" w:hAnsi="Times New Roman"/>
          <w:sz w:val="16"/>
          <w:szCs w:val="16"/>
          <w:color w:val="auto"/>
        </w:rPr>
        <w:t>(6)Incorporated herein by reference to Exhibit 10.2 to the Annual Report on Form 10-K filed with the SEC on February 29, 2016.</w:t>
      </w:r>
    </w:p>
    <w:p>
      <w:pPr>
        <w:spacing w:after="0" w:line="235" w:lineRule="auto"/>
        <w:rPr>
          <w:sz w:val="20"/>
          <w:szCs w:val="20"/>
          <w:color w:val="auto"/>
        </w:rPr>
      </w:pPr>
      <w:r>
        <w:rPr>
          <w:rFonts w:ascii="Times New Roman" w:cs="Times New Roman" w:eastAsia="Times New Roman" w:hAnsi="Times New Roman"/>
          <w:sz w:val="16"/>
          <w:szCs w:val="16"/>
          <w:color w:val="auto"/>
        </w:rPr>
        <w:t>(7)Incorporated herein by reference to Exhibit 10.1 to the Current Report on Form 8-K filed June 29, 2016.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(8)Incorporated herein by reference to Annex A to our Definitive Proxy Statement on Form DEF 14A filed with the SEC on April 16, 2008.</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(9)Incorporated herein by reference to Exhibit 10.2 to our Current Report on Form 8-K filed with the SEC on September 22, 2009</w:t>
      </w:r>
    </w:p>
    <w:p>
      <w:pPr>
        <w:spacing w:after="0" w:line="234" w:lineRule="auto"/>
        <w:rPr>
          <w:sz w:val="20"/>
          <w:szCs w:val="20"/>
          <w:color w:val="auto"/>
        </w:rPr>
      </w:pPr>
      <w:r>
        <w:rPr>
          <w:rFonts w:ascii="Times New Roman" w:cs="Times New Roman" w:eastAsia="Times New Roman" w:hAnsi="Times New Roman"/>
          <w:sz w:val="16"/>
          <w:szCs w:val="16"/>
          <w:color w:val="auto"/>
        </w:rPr>
        <w:t>(10)Incorporated herein by reference to Exhibit 10.1 to our Current Report on Form 8-K filed with the SEC on November 24, 2009.</w:t>
      </w:r>
    </w:p>
    <w:p>
      <w:pPr>
        <w:spacing w:after="0" w:line="235" w:lineRule="auto"/>
        <w:rPr>
          <w:sz w:val="20"/>
          <w:szCs w:val="20"/>
          <w:color w:val="auto"/>
        </w:rPr>
      </w:pPr>
      <w:r>
        <w:rPr>
          <w:rFonts w:ascii="Times New Roman" w:cs="Times New Roman" w:eastAsia="Times New Roman" w:hAnsi="Times New Roman"/>
          <w:sz w:val="16"/>
          <w:szCs w:val="16"/>
          <w:color w:val="auto"/>
        </w:rPr>
        <w:t>(11)Incorporated herein by reference to Exhibit 10.2 to our Current Report on Form 8-K filed with the SEC on February 6, 2014.</w:t>
      </w:r>
    </w:p>
    <w:p>
      <w:pPr>
        <w:spacing w:after="0" w:line="235" w:lineRule="auto"/>
        <w:rPr>
          <w:sz w:val="20"/>
          <w:szCs w:val="20"/>
          <w:color w:val="auto"/>
        </w:rPr>
      </w:pPr>
      <w:r>
        <w:rPr>
          <w:rFonts w:ascii="Times New Roman" w:cs="Times New Roman" w:eastAsia="Times New Roman" w:hAnsi="Times New Roman"/>
          <w:sz w:val="16"/>
          <w:szCs w:val="16"/>
          <w:color w:val="auto"/>
        </w:rPr>
        <w:t>(12)Incorporated herein by reference to Exhibit 10.1 to our Quarterly Report on Form 10-Q filed with the SEC on May 10, 2017.</w:t>
      </w:r>
    </w:p>
    <w:p>
      <w:pPr>
        <w:spacing w:after="0" w:line="235" w:lineRule="auto"/>
        <w:rPr>
          <w:sz w:val="20"/>
          <w:szCs w:val="20"/>
          <w:color w:val="auto"/>
        </w:rPr>
      </w:pPr>
      <w:r>
        <w:rPr>
          <w:rFonts w:ascii="Times New Roman" w:cs="Times New Roman" w:eastAsia="Times New Roman" w:hAnsi="Times New Roman"/>
          <w:sz w:val="16"/>
          <w:szCs w:val="16"/>
          <w:color w:val="auto"/>
        </w:rPr>
        <w:t>(13)Incorporated herein by reference to Exhibit 10.2 to our Quarterly Report on Form 10-Q filed with the SEC on May 10, 2017.</w:t>
      </w:r>
    </w:p>
    <w:p>
      <w:pPr>
        <w:spacing w:after="0" w:line="235" w:lineRule="auto"/>
        <w:rPr>
          <w:sz w:val="20"/>
          <w:szCs w:val="20"/>
          <w:color w:val="auto"/>
        </w:rPr>
      </w:pPr>
      <w:r>
        <w:rPr>
          <w:rFonts w:ascii="Times New Roman" w:cs="Times New Roman" w:eastAsia="Times New Roman" w:hAnsi="Times New Roman"/>
          <w:sz w:val="16"/>
          <w:szCs w:val="16"/>
          <w:color w:val="auto"/>
        </w:rPr>
        <w:t>(14)Incorporated herein by reference to Exhibit 10.2 to our Current Report on Form 8-K filed with the SEC on May 23, 2008.</w:t>
      </w:r>
    </w:p>
    <w:p>
      <w:pPr>
        <w:spacing w:after="0" w:line="235" w:lineRule="auto"/>
        <w:rPr>
          <w:sz w:val="20"/>
          <w:szCs w:val="20"/>
          <w:color w:val="auto"/>
        </w:rPr>
      </w:pPr>
      <w:r>
        <w:rPr>
          <w:rFonts w:ascii="Times New Roman" w:cs="Times New Roman" w:eastAsia="Times New Roman" w:hAnsi="Times New Roman"/>
          <w:sz w:val="16"/>
          <w:szCs w:val="16"/>
          <w:color w:val="auto"/>
        </w:rPr>
        <w:t>(15)Incorporated herein by reference to Exhibit 10.3 to our Current Report on Form 8-K filed with the SEC on May 23, 2008.</w:t>
      </w:r>
    </w:p>
    <w:p>
      <w:pPr>
        <w:spacing w:after="0"/>
        <w:rPr>
          <w:sz w:val="20"/>
          <w:szCs w:val="20"/>
          <w:color w:val="auto"/>
        </w:rPr>
      </w:pPr>
      <w:r>
        <w:rPr>
          <w:rFonts w:ascii="Times New Roman" w:cs="Times New Roman" w:eastAsia="Times New Roman" w:hAnsi="Times New Roman"/>
          <w:sz w:val="14"/>
          <w:szCs w:val="14"/>
          <w:color w:val="auto"/>
        </w:rPr>
        <w:t>(16)Incorporated herein by reference to Annex A to our Definitive Proxy Statement on Form DEF 14A filed with the SEC on April 4, 2018.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(17)Incorporated herein by reference to Exhibit 10.2 to our Form 8-K filed with the SEC on May 24, 2018.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(18)Incorporated herein by reference to Exhibit 10.3 to our Form 8-K filed with the SEC on May 24, 2018.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(19)Incorporated hereby by reference to Exhibit 10.4 to our Form 8-K filed with the SEC on May 24, 2018.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(20)Incorporated herein by reference to Exhibit 10.26 to our Annual Report on Form 10-K filed with the SEC on March 1, 2007.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(21)Incorporated herein by reference to Exhibit A to our Definitive Proxy Statement on Form DEF 14A filed with the SEC on April 3, 2015.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(22)Incorporated herein by reference to Exhibit 10.11 to our Annual Report on Form 10-K filed with the SEC on March 1, 2022.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(23)Incorporated herein by reference to Exhibit 10.5(b) to our Annual Report on Form 10-K filed with the SEC on March 1, 2021.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(24)I</w:t>
      </w:r>
      <w:r>
        <w:rPr>
          <w:rFonts w:ascii="Times New Roman" w:cs="Times New Roman" w:eastAsia="Times New Roman" w:hAnsi="Times New Roman"/>
          <w:sz w:val="15"/>
          <w:szCs w:val="15"/>
          <w:color w:val="auto"/>
        </w:rPr>
        <w:t>ncorporated herein by reference to Exhibit 10.12 to our Annual Report on Form 10-K filed with the SEC on February 28, 2023.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(25)I</w:t>
      </w:r>
      <w:r>
        <w:rPr>
          <w:rFonts w:ascii="Times New Roman" w:cs="Times New Roman" w:eastAsia="Times New Roman" w:hAnsi="Times New Roman"/>
          <w:sz w:val="15"/>
          <w:szCs w:val="15"/>
          <w:color w:val="auto"/>
        </w:rPr>
        <w:t>ncorporated herein by reference to Exhibit 10.1 to our Form 8-K filed with the SEC on July 1, 2024.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(26)I</w:t>
      </w:r>
      <w:r>
        <w:rPr>
          <w:rFonts w:ascii="Times New Roman" w:cs="Times New Roman" w:eastAsia="Times New Roman" w:hAnsi="Times New Roman"/>
          <w:sz w:val="15"/>
          <w:szCs w:val="15"/>
          <w:color w:val="auto"/>
        </w:rPr>
        <w:t>ncorporated herein by reference to Exhibit 10.1 to our Form 8-K filed with the SEC on July 3, 2024.</w:t>
      </w:r>
    </w:p>
    <w:p>
      <w:pPr>
        <w:spacing w:after="0" w:line="20" w:lineRule="exact"/>
        <w:rPr>
          <w:sz w:val="20"/>
          <w:szCs w:val="20"/>
          <w:color w:val="auto"/>
        </w:rPr>
      </w:pPr>
    </w:p>
    <w:p>
      <w:pPr>
        <w:spacing w:after="0"/>
        <w:tabs>
          <w:tab w:leader="none" w:pos="6920" w:val="left"/>
        </w:tabs>
        <w:rPr>
          <w:sz w:val="20"/>
          <w:szCs w:val="20"/>
          <w:color w:val="auto"/>
        </w:rPr>
      </w:pPr>
      <w:r>
        <w:rPr>
          <w:rFonts w:ascii="Times New Roman" w:cs="Times New Roman" w:eastAsia="Times New Roman" w:hAnsi="Times New Roman"/>
          <w:sz w:val="14"/>
          <w:szCs w:val="14"/>
          <w:color w:val="auto"/>
        </w:rPr>
        <w:t>(27)I</w:t>
      </w:r>
      <w:r>
        <w:rPr>
          <w:rFonts w:ascii="Times New Roman" w:cs="Times New Roman" w:eastAsia="Times New Roman" w:hAnsi="Times New Roman"/>
          <w:sz w:val="15"/>
          <w:szCs w:val="15"/>
          <w:color w:val="auto"/>
        </w:rPr>
        <w:t>ncorporated herein by reference to Exhibit 97 to our Annual Report on Form 10-K filed with the SEC on</w:t>
      </w:r>
      <w:r>
        <w:rPr>
          <w:sz w:val="20"/>
          <w:szCs w:val="20"/>
          <w:color w:val="auto"/>
        </w:rPr>
        <w:tab/>
      </w:r>
      <w:r>
        <w:rPr>
          <w:rFonts w:ascii="Times New Roman" w:cs="Times New Roman" w:eastAsia="Times New Roman" w:hAnsi="Times New Roman"/>
          <w:sz w:val="14"/>
          <w:szCs w:val="14"/>
          <w:color w:val="auto"/>
        </w:rPr>
        <w:t>February 28, 2024.</w:t>
      </w:r>
    </w:p>
    <w:p>
      <w:pPr>
        <w:spacing w:after="0" w:line="2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488315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20"/>
          </w:cols>
          <w:pgMar w:left="1140" w:top="1433"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54" w:lineRule="exact"/>
        <w:rPr>
          <w:sz w:val="20"/>
          <w:szCs w:val="20"/>
          <w:color w:val="auto"/>
        </w:rPr>
      </w:pPr>
    </w:p>
    <w:p>
      <w:pPr>
        <w:ind w:right="60" w:firstLine="58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 on the 28th day of February 2025.</w:t>
      </w:r>
    </w:p>
    <w:p>
      <w:pPr>
        <w:spacing w:after="0" w:line="16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CVB FINANCIAL CORP.</w:t>
      </w:r>
    </w:p>
    <w:p>
      <w:pPr>
        <w:spacing w:after="0" w:line="176" w:lineRule="exact"/>
        <w:rPr>
          <w:sz w:val="20"/>
          <w:szCs w:val="20"/>
          <w:color w:val="auto"/>
        </w:rPr>
      </w:pPr>
    </w:p>
    <w:p>
      <w:pPr>
        <w:ind w:left="6360"/>
        <w:spacing w:after="0"/>
        <w:tabs>
          <w:tab w:leader="none" w:pos="6760" w:val="left"/>
        </w:tabs>
        <w:rPr>
          <w:sz w:val="20"/>
          <w:szCs w:val="20"/>
          <w:color w:val="auto"/>
        </w:rPr>
      </w:pPr>
      <w:r>
        <w:rPr>
          <w:rFonts w:ascii="Times New Roman" w:cs="Times New Roman" w:eastAsia="Times New Roman" w:hAnsi="Times New Roman"/>
          <w:sz w:val="16"/>
          <w:szCs w:val="16"/>
          <w:color w:val="auto"/>
        </w:rPr>
        <w:t>By:</w:t>
        <w:tab/>
        <w:t>/s/ DAVID A. BRAGER</w:t>
      </w:r>
    </w:p>
    <w:p>
      <w:pPr>
        <w:spacing w:after="0" w:line="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David A. Brager</w:t>
      </w:r>
    </w:p>
    <w:p>
      <w:pPr>
        <w:ind w:left="678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p>
      <w:pPr>
        <w:spacing w:after="0" w:line="314" w:lineRule="exact"/>
        <w:rPr>
          <w:sz w:val="20"/>
          <w:szCs w:val="20"/>
          <w:color w:val="auto"/>
        </w:rPr>
      </w:pPr>
    </w:p>
    <w:p>
      <w:pPr>
        <w:ind w:right="120" w:firstLine="588"/>
        <w:spacing w:after="0" w:line="30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0" w:type="dxa"/>
            <w:vAlign w:val="bottom"/>
            <w:tcBorders>
              <w:bottom w:val="single" w:sz="8" w:color="auto"/>
            </w:tcBorders>
          </w:tcPr>
          <w:p>
            <w:pPr>
              <w:spacing w:after="0"/>
              <w:rPr>
                <w:sz w:val="15"/>
                <w:szCs w:val="15"/>
                <w:color w:val="auto"/>
              </w:rPr>
            </w:pPr>
          </w:p>
        </w:tc>
        <w:tc>
          <w:tcPr>
            <w:tcW w:w="454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360" w:type="dxa"/>
            <w:vAlign w:val="bottom"/>
          </w:tcPr>
          <w:p>
            <w:pPr>
              <w:spacing w:after="0"/>
              <w:rPr>
                <w:sz w:val="15"/>
                <w:szCs w:val="15"/>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360" w:type="dxa"/>
            <w:vAlign w:val="bottom"/>
          </w:tcPr>
          <w:p>
            <w:pPr>
              <w:spacing w:after="0"/>
              <w:rPr>
                <w:sz w:val="15"/>
                <w:szCs w:val="15"/>
                <w:color w:val="auto"/>
              </w:rPr>
            </w:pPr>
          </w:p>
        </w:tc>
        <w:tc>
          <w:tcPr>
            <w:tcW w:w="18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364"/>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HAL W. OSWALT</w:t>
            </w:r>
          </w:p>
        </w:tc>
        <w:tc>
          <w:tcPr>
            <w:tcW w:w="3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Chairman of the Board</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2025</w:t>
            </w:r>
          </w:p>
        </w:tc>
        <w:tc>
          <w:tcPr>
            <w:tcW w:w="0" w:type="dxa"/>
            <w:vAlign w:val="bottom"/>
          </w:tcPr>
          <w:p>
            <w:pPr>
              <w:spacing w:after="0"/>
              <w:rPr>
                <w:sz w:val="1"/>
                <w:szCs w:val="1"/>
                <w:color w:val="auto"/>
              </w:rPr>
            </w:pPr>
          </w:p>
        </w:tc>
      </w:tr>
      <w:tr>
        <w:trPr>
          <w:trHeight w:val="19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Hal W. Oswalt</w:t>
            </w:r>
          </w:p>
        </w:tc>
        <w:tc>
          <w:tcPr>
            <w:tcW w:w="3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GEORGE A. BORBA, JR.</w:t>
            </w:r>
          </w:p>
        </w:tc>
        <w:tc>
          <w:tcPr>
            <w:tcW w:w="3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Vice Chairman</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2025</w:t>
            </w:r>
          </w:p>
        </w:tc>
        <w:tc>
          <w:tcPr>
            <w:tcW w:w="0" w:type="dxa"/>
            <w:vAlign w:val="bottom"/>
          </w:tcPr>
          <w:p>
            <w:pPr>
              <w:spacing w:after="0"/>
              <w:rPr>
                <w:sz w:val="1"/>
                <w:szCs w:val="1"/>
                <w:color w:val="auto"/>
              </w:rPr>
            </w:pPr>
          </w:p>
        </w:tc>
      </w:tr>
      <w:tr>
        <w:trPr>
          <w:trHeight w:val="19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George A. Borba, Jr.</w:t>
            </w:r>
          </w:p>
        </w:tc>
        <w:tc>
          <w:tcPr>
            <w:tcW w:w="3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STEPHEN A. DEL GUERCIO</w:t>
            </w:r>
          </w:p>
        </w:tc>
        <w:tc>
          <w:tcPr>
            <w:tcW w:w="3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2025</w:t>
            </w:r>
          </w:p>
        </w:tc>
        <w:tc>
          <w:tcPr>
            <w:tcW w:w="0" w:type="dxa"/>
            <w:vAlign w:val="bottom"/>
          </w:tcPr>
          <w:p>
            <w:pPr>
              <w:spacing w:after="0"/>
              <w:rPr>
                <w:sz w:val="1"/>
                <w:szCs w:val="1"/>
                <w:color w:val="auto"/>
              </w:rPr>
            </w:pPr>
          </w:p>
        </w:tc>
      </w:tr>
      <w:tr>
        <w:trPr>
          <w:trHeight w:val="19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Stephen A. Del Guercio</w:t>
            </w:r>
          </w:p>
        </w:tc>
        <w:tc>
          <w:tcPr>
            <w:tcW w:w="3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ANNA KAN</w:t>
            </w:r>
          </w:p>
        </w:tc>
        <w:tc>
          <w:tcPr>
            <w:tcW w:w="3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2025</w:t>
            </w:r>
          </w:p>
        </w:tc>
        <w:tc>
          <w:tcPr>
            <w:tcW w:w="0" w:type="dxa"/>
            <w:vAlign w:val="bottom"/>
          </w:tcPr>
          <w:p>
            <w:pPr>
              <w:spacing w:after="0"/>
              <w:rPr>
                <w:sz w:val="1"/>
                <w:szCs w:val="1"/>
                <w:color w:val="auto"/>
              </w:rPr>
            </w:pPr>
          </w:p>
        </w:tc>
      </w:tr>
      <w:tr>
        <w:trPr>
          <w:trHeight w:val="19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Anna Kan</w:t>
            </w:r>
          </w:p>
        </w:tc>
        <w:tc>
          <w:tcPr>
            <w:tcW w:w="3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KIMBERLY SHEEHY</w:t>
            </w:r>
          </w:p>
        </w:tc>
        <w:tc>
          <w:tcPr>
            <w:tcW w:w="3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2025</w:t>
            </w:r>
          </w:p>
        </w:tc>
        <w:tc>
          <w:tcPr>
            <w:tcW w:w="0" w:type="dxa"/>
            <w:vAlign w:val="bottom"/>
          </w:tcPr>
          <w:p>
            <w:pPr>
              <w:spacing w:after="0"/>
              <w:rPr>
                <w:sz w:val="1"/>
                <w:szCs w:val="1"/>
                <w:color w:val="auto"/>
              </w:rPr>
            </w:pPr>
          </w:p>
        </w:tc>
      </w:tr>
      <w:tr>
        <w:trPr>
          <w:trHeight w:val="19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Kimberly Sheehy</w:t>
            </w:r>
          </w:p>
        </w:tc>
        <w:tc>
          <w:tcPr>
            <w:tcW w:w="3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JANE OLVERA MAJORS</w:t>
            </w:r>
          </w:p>
        </w:tc>
        <w:tc>
          <w:tcPr>
            <w:tcW w:w="3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2025</w:t>
            </w:r>
          </w:p>
        </w:tc>
        <w:tc>
          <w:tcPr>
            <w:tcW w:w="0" w:type="dxa"/>
            <w:vAlign w:val="bottom"/>
          </w:tcPr>
          <w:p>
            <w:pPr>
              <w:spacing w:after="0"/>
              <w:rPr>
                <w:sz w:val="1"/>
                <w:szCs w:val="1"/>
                <w:color w:val="auto"/>
              </w:rPr>
            </w:pPr>
          </w:p>
        </w:tc>
      </w:tr>
      <w:tr>
        <w:trPr>
          <w:trHeight w:val="19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Jane Olvera Majors</w:t>
            </w:r>
          </w:p>
        </w:tc>
        <w:tc>
          <w:tcPr>
            <w:tcW w:w="3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RAYMOND V. O’BRIEN III</w:t>
            </w:r>
          </w:p>
        </w:tc>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78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360" w:type="dxa"/>
            <w:vAlign w:val="bottom"/>
          </w:tcPr>
          <w:p>
            <w:pPr>
              <w:spacing w:after="0"/>
              <w:rPr>
                <w:sz w:val="9"/>
                <w:szCs w:val="9"/>
                <w:color w:val="auto"/>
              </w:rPr>
            </w:pPr>
          </w:p>
        </w:tc>
        <w:tc>
          <w:tcPr>
            <w:tcW w:w="188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w w:val="96"/>
              </w:rPr>
              <w:t>February 28, 2025</w:t>
            </w:r>
          </w:p>
        </w:tc>
        <w:tc>
          <w:tcPr>
            <w:tcW w:w="0" w:type="dxa"/>
            <w:vAlign w:val="bottom"/>
          </w:tcPr>
          <w:p>
            <w:pPr>
              <w:spacing w:after="0"/>
              <w:rPr>
                <w:sz w:val="1"/>
                <w:szCs w:val="1"/>
                <w:color w:val="auto"/>
              </w:rPr>
            </w:pPr>
          </w:p>
        </w:tc>
      </w:tr>
      <w:tr>
        <w:trPr>
          <w:trHeight w:val="19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Raymond V. O’Brien III</w:t>
            </w:r>
          </w:p>
        </w:tc>
        <w:tc>
          <w:tcPr>
            <w:tcW w:w="360" w:type="dxa"/>
            <w:vAlign w:val="bottom"/>
          </w:tcPr>
          <w:p>
            <w:pPr>
              <w:spacing w:after="0"/>
              <w:rPr>
                <w:sz w:val="16"/>
                <w:szCs w:val="16"/>
                <w:color w:val="auto"/>
              </w:rPr>
            </w:pPr>
          </w:p>
        </w:tc>
        <w:tc>
          <w:tcPr>
            <w:tcW w:w="3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DAVID A. BRAGER</w:t>
            </w:r>
          </w:p>
        </w:tc>
        <w:tc>
          <w:tcPr>
            <w:tcW w:w="3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Director and</w:t>
            </w: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7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6"/>
                <w:szCs w:val="16"/>
                <w:color w:val="auto"/>
              </w:rPr>
              <w:t>David A. Brager</w:t>
            </w:r>
          </w:p>
        </w:tc>
        <w:tc>
          <w:tcPr>
            <w:tcW w:w="360" w:type="dxa"/>
            <w:vAlign w:val="bottom"/>
          </w:tcPr>
          <w:p>
            <w:pPr>
              <w:spacing w:after="0"/>
              <w:rPr>
                <w:sz w:val="12"/>
                <w:szCs w:val="12"/>
                <w:color w:val="auto"/>
              </w:rPr>
            </w:pPr>
          </w:p>
        </w:tc>
        <w:tc>
          <w:tcPr>
            <w:tcW w:w="3180" w:type="dxa"/>
            <w:vAlign w:val="bottom"/>
          </w:tcPr>
          <w:p>
            <w:pPr>
              <w:jc w:val="center"/>
              <w:spacing w:after="0" w:line="147" w:lineRule="exact"/>
              <w:rPr>
                <w:sz w:val="20"/>
                <w:szCs w:val="20"/>
                <w:color w:val="auto"/>
              </w:rPr>
            </w:pPr>
            <w:r>
              <w:rPr>
                <w:rFonts w:ascii="Times New Roman" w:cs="Times New Roman" w:eastAsia="Times New Roman" w:hAnsi="Times New Roman"/>
                <w:sz w:val="16"/>
                <w:szCs w:val="16"/>
                <w:color w:val="auto"/>
                <w:w w:val="97"/>
              </w:rPr>
              <w:t>Chief Executive Officer</w:t>
            </w:r>
          </w:p>
        </w:tc>
        <w:tc>
          <w:tcPr>
            <w:tcW w:w="360" w:type="dxa"/>
            <w:vAlign w:val="bottom"/>
          </w:tcPr>
          <w:p>
            <w:pPr>
              <w:spacing w:after="0"/>
              <w:rPr>
                <w:sz w:val="12"/>
                <w:szCs w:val="12"/>
                <w:color w:val="auto"/>
              </w:rPr>
            </w:pPr>
          </w:p>
        </w:tc>
        <w:tc>
          <w:tcPr>
            <w:tcW w:w="1880" w:type="dxa"/>
            <w:vAlign w:val="bottom"/>
          </w:tcPr>
          <w:p>
            <w:pPr>
              <w:ind w:left="720"/>
              <w:spacing w:after="0" w:line="147" w:lineRule="exact"/>
              <w:rPr>
                <w:sz w:val="20"/>
                <w:szCs w:val="20"/>
                <w:color w:val="auto"/>
              </w:rPr>
            </w:pPr>
            <w:r>
              <w:rPr>
                <w:rFonts w:ascii="Times New Roman" w:cs="Times New Roman" w:eastAsia="Times New Roman" w:hAnsi="Times New Roman"/>
                <w:sz w:val="16"/>
                <w:szCs w:val="16"/>
                <w:color w:val="auto"/>
                <w:w w:val="96"/>
              </w:rPr>
              <w:t>February 28, 2025</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(Principal Executive Officer)</w:t>
            </w:r>
          </w:p>
        </w:tc>
        <w:tc>
          <w:tcPr>
            <w:tcW w:w="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 ALLEN NICHOLSON</w:t>
            </w:r>
          </w:p>
        </w:tc>
        <w:tc>
          <w:tcPr>
            <w:tcW w:w="360" w:type="dxa"/>
            <w:vAlign w:val="bottom"/>
          </w:tcPr>
          <w:p>
            <w:pPr>
              <w:spacing w:after="0"/>
              <w:rPr>
                <w:sz w:val="24"/>
                <w:szCs w:val="24"/>
                <w:color w:val="auto"/>
              </w:rPr>
            </w:pPr>
          </w:p>
        </w:tc>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Chief Financial Officer</w:t>
            </w: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40" w:type="dxa"/>
            <w:vAlign w:val="bottom"/>
            <w:tcBorders>
              <w:bottom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88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w w:val="96"/>
              </w:rPr>
              <w:t>February 28, 2025</w:t>
            </w:r>
          </w:p>
        </w:tc>
        <w:tc>
          <w:tcPr>
            <w:tcW w:w="0" w:type="dxa"/>
            <w:vAlign w:val="bottom"/>
          </w:tcPr>
          <w:p>
            <w:pPr>
              <w:spacing w:after="0"/>
              <w:rPr>
                <w:sz w:val="1"/>
                <w:szCs w:val="1"/>
                <w:color w:val="auto"/>
              </w:rPr>
            </w:pPr>
          </w:p>
        </w:tc>
      </w:tr>
      <w:tr>
        <w:trPr>
          <w:trHeight w:val="19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 Allen Nicholson</w:t>
            </w:r>
          </w:p>
        </w:tc>
        <w:tc>
          <w:tcPr>
            <w:tcW w:w="360" w:type="dxa"/>
            <w:vAlign w:val="bottom"/>
          </w:tcPr>
          <w:p>
            <w:pPr>
              <w:spacing w:after="0"/>
              <w:rPr>
                <w:sz w:val="16"/>
                <w:szCs w:val="16"/>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(Principal Financial Officer )</w:t>
            </w:r>
          </w:p>
        </w:tc>
        <w:tc>
          <w:tcPr>
            <w:tcW w:w="36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SHERYL P. LAYGO</w:t>
            </w:r>
          </w:p>
        </w:tc>
        <w:tc>
          <w:tcPr>
            <w:tcW w:w="3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Chief Accounting Officer</w:t>
            </w:r>
          </w:p>
        </w:tc>
        <w:tc>
          <w:tcPr>
            <w:tcW w:w="360" w:type="dxa"/>
            <w:vAlign w:val="bottom"/>
          </w:tcPr>
          <w:p>
            <w:pPr>
              <w:spacing w:after="0"/>
              <w:rPr>
                <w:sz w:val="24"/>
                <w:szCs w:val="24"/>
                <w:color w:val="auto"/>
              </w:rPr>
            </w:pPr>
          </w:p>
        </w:tc>
        <w:tc>
          <w:tcPr>
            <w:tcW w:w="188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w w:val="96"/>
              </w:rPr>
              <w:t>February 28, 2025</w:t>
            </w:r>
          </w:p>
        </w:tc>
        <w:tc>
          <w:tcPr>
            <w:tcW w:w="0" w:type="dxa"/>
            <w:vAlign w:val="bottom"/>
          </w:tcPr>
          <w:p>
            <w:pPr>
              <w:spacing w:after="0"/>
              <w:rPr>
                <w:sz w:val="1"/>
                <w:szCs w:val="1"/>
                <w:color w:val="auto"/>
              </w:rPr>
            </w:pPr>
          </w:p>
        </w:tc>
      </w:tr>
      <w:tr>
        <w:trPr>
          <w:trHeight w:val="19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Sheryl P. Laygo</w:t>
            </w:r>
          </w:p>
        </w:tc>
        <w:tc>
          <w:tcPr>
            <w:tcW w:w="360" w:type="dxa"/>
            <w:vAlign w:val="bottom"/>
          </w:tcPr>
          <w:p>
            <w:pPr>
              <w:spacing w:after="0"/>
              <w:rPr>
                <w:sz w:val="16"/>
                <w:szCs w:val="16"/>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(Principal Accounting Officer )</w:t>
            </w:r>
          </w:p>
        </w:tc>
        <w:tc>
          <w:tcPr>
            <w:tcW w:w="36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3"/>
        </w:trPr>
        <w:tc>
          <w:tcPr>
            <w:tcW w:w="2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540" w:type="dxa"/>
            <w:vAlign w:val="bottom"/>
            <w:gridSpan w:val="2"/>
          </w:tcPr>
          <w:p>
            <w:pPr>
              <w:jc w:val="right"/>
              <w:ind w:right="2883"/>
              <w:spacing w:after="0"/>
              <w:rPr>
                <w:sz w:val="20"/>
                <w:szCs w:val="20"/>
                <w:color w:val="auto"/>
              </w:rPr>
            </w:pPr>
            <w:r>
              <w:rPr>
                <w:rFonts w:ascii="Times New Roman" w:cs="Times New Roman" w:eastAsia="Times New Roman" w:hAnsi="Times New Roman"/>
                <w:sz w:val="16"/>
                <w:szCs w:val="16"/>
                <w:color w:val="auto"/>
              </w:rPr>
              <w:t>88</w:t>
            </w: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240" w:type="dxa"/>
            <w:vAlign w:val="bottom"/>
            <w:tcBorders>
              <w:bottom w:val="single" w:sz="8" w:color="EEEEEE"/>
            </w:tcBorders>
          </w:tcPr>
          <w:p>
            <w:pPr>
              <w:spacing w:after="0"/>
              <w:rPr>
                <w:sz w:val="24"/>
                <w:szCs w:val="24"/>
                <w:color w:val="auto"/>
              </w:rPr>
            </w:pPr>
          </w:p>
        </w:tc>
        <w:tc>
          <w:tcPr>
            <w:tcW w:w="45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31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ind w:left="3980"/>
        <w:spacing w:after="0"/>
        <w:rPr>
          <w:sz w:val="20"/>
          <w:szCs w:val="20"/>
          <w:color w:val="auto"/>
        </w:rPr>
      </w:pPr>
      <w:r>
        <w:rPr>
          <w:rFonts w:ascii="Times New Roman" w:cs="Times New Roman" w:eastAsia="Times New Roman" w:hAnsi="Times New Roman"/>
          <w:sz w:val="14"/>
          <w:szCs w:val="14"/>
          <w:i w:val="1"/>
          <w:iCs w:val="1"/>
          <w:color w:val="auto"/>
        </w:rPr>
        <w:t>(Dollars in thousands, except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3"/>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7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Cash and due from banks</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153,875</w:t>
            </w:r>
          </w:p>
        </w:tc>
        <w:tc>
          <w:tcPr>
            <w:tcW w:w="44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171,396</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Interest-earning balances due from Federal Reserve</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50,823</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109,889</w:t>
            </w:r>
          </w:p>
        </w:tc>
      </w:tr>
      <w:tr>
        <w:trPr>
          <w:trHeight w:val="180"/>
        </w:trPr>
        <w:tc>
          <w:tcPr>
            <w:tcW w:w="726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Total cash and cash equivalents</w:t>
            </w:r>
          </w:p>
        </w:tc>
        <w:tc>
          <w:tcPr>
            <w:tcW w:w="340" w:type="dxa"/>
            <w:vAlign w:val="bottom"/>
          </w:tcPr>
          <w:p>
            <w:pPr>
              <w:spacing w:after="0"/>
              <w:rPr>
                <w:sz w:val="15"/>
                <w:szCs w:val="15"/>
                <w:color w:val="auto"/>
              </w:rPr>
            </w:pPr>
          </w:p>
        </w:tc>
        <w:tc>
          <w:tcPr>
            <w:tcW w:w="14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204,698</w:t>
            </w:r>
          </w:p>
        </w:tc>
        <w:tc>
          <w:tcPr>
            <w:tcW w:w="44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281,285</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Interest-earning balances due from depository institutions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480</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8,216</w:t>
            </w:r>
          </w:p>
        </w:tc>
      </w:tr>
      <w:tr>
        <w:trPr>
          <w:trHeight w:val="167"/>
        </w:trPr>
        <w:tc>
          <w:tcPr>
            <w:tcW w:w="7260" w:type="dxa"/>
            <w:vAlign w:val="bottom"/>
          </w:tcPr>
          <w:p>
            <w:pPr>
              <w:ind w:left="180"/>
              <w:spacing w:after="0" w:line="167" w:lineRule="exact"/>
              <w:rPr>
                <w:sz w:val="20"/>
                <w:szCs w:val="20"/>
                <w:color w:val="auto"/>
              </w:rPr>
            </w:pPr>
            <w:r>
              <w:rPr>
                <w:rFonts w:ascii="Times New Roman" w:cs="Times New Roman" w:eastAsia="Times New Roman" w:hAnsi="Times New Roman"/>
                <w:sz w:val="16"/>
                <w:szCs w:val="16"/>
                <w:color w:val="auto"/>
              </w:rPr>
              <w:t>Investment securities available-for-sale, at fair value (with amortized cost of</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7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$2,997,047 at December 31, 2024, and $3,398,942 at December 31, 2023)</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2,542,115</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80" w:type="dxa"/>
            <w:vAlign w:val="bottom"/>
          </w:tcPr>
          <w:p>
            <w:pPr>
              <w:spacing w:after="0"/>
              <w:rPr>
                <w:sz w:val="16"/>
                <w:szCs w:val="16"/>
                <w:color w:val="auto"/>
              </w:rPr>
            </w:pPr>
          </w:p>
        </w:tc>
      </w:tr>
      <w:tr>
        <w:trPr>
          <w:trHeight w:val="167"/>
        </w:trPr>
        <w:tc>
          <w:tcPr>
            <w:tcW w:w="7260" w:type="dxa"/>
            <w:vAlign w:val="bottom"/>
            <w:shd w:val="clear" w:color="auto" w:fill="CFF0FC"/>
          </w:tcPr>
          <w:p>
            <w:pPr>
              <w:ind w:left="180"/>
              <w:spacing w:after="0" w:line="167" w:lineRule="exact"/>
              <w:rPr>
                <w:sz w:val="20"/>
                <w:szCs w:val="20"/>
                <w:color w:val="auto"/>
              </w:rPr>
            </w:pPr>
            <w:r>
              <w:rPr>
                <w:rFonts w:ascii="Times New Roman" w:cs="Times New Roman" w:eastAsia="Times New Roman" w:hAnsi="Times New Roman"/>
                <w:sz w:val="16"/>
                <w:szCs w:val="16"/>
                <w:color w:val="auto"/>
              </w:rPr>
              <w:t>Investment securities held-to-maturity (with fair value of $1,954,345 at</w:t>
            </w: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3"/>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December 31, 2024, and $2,082,881 at December 31, 2023)</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2,379,668</w:t>
            </w: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2,464,610</w:t>
            </w:r>
          </w:p>
        </w:tc>
        <w:tc>
          <w:tcPr>
            <w:tcW w:w="80" w:type="dxa"/>
            <w:vAlign w:val="bottom"/>
            <w:shd w:val="clear" w:color="auto" w:fill="CFF0FC"/>
          </w:tcPr>
          <w:p>
            <w:pPr>
              <w:spacing w:after="0"/>
              <w:rPr>
                <w:sz w:val="16"/>
                <w:szCs w:val="16"/>
                <w:color w:val="auto"/>
              </w:rPr>
            </w:pPr>
          </w:p>
        </w:tc>
      </w:tr>
      <w:tr>
        <w:trPr>
          <w:trHeight w:val="180"/>
        </w:trPr>
        <w:tc>
          <w:tcPr>
            <w:tcW w:w="726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Total investment securities</w:t>
            </w: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4,921,783</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5,420,735</w:t>
            </w:r>
          </w:p>
        </w:tc>
        <w:tc>
          <w:tcPr>
            <w:tcW w:w="80" w:type="dxa"/>
            <w:vAlign w:val="bottom"/>
          </w:tcPr>
          <w:p>
            <w:pPr>
              <w:spacing w:after="0"/>
              <w:rPr>
                <w:sz w:val="15"/>
                <w:szCs w:val="15"/>
                <w:color w:val="auto"/>
              </w:rPr>
            </w:pPr>
          </w:p>
        </w:tc>
      </w:tr>
      <w:tr>
        <w:trPr>
          <w:trHeight w:val="192"/>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 in stock of Federal Home Loan Bank (FHLB)</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18,012</w:t>
            </w: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18,012</w:t>
            </w:r>
          </w:p>
        </w:tc>
        <w:tc>
          <w:tcPr>
            <w:tcW w:w="80" w:type="dxa"/>
            <w:vAlign w:val="bottom"/>
            <w:shd w:val="clear" w:color="auto" w:fill="CFF0FC"/>
          </w:tcPr>
          <w:p>
            <w:pPr>
              <w:spacing w:after="0"/>
              <w:rPr>
                <w:sz w:val="16"/>
                <w:szCs w:val="16"/>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Loans and lease finance receivables</w:t>
            </w: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8,536,432</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8,904,910</w:t>
            </w:r>
          </w:p>
        </w:tc>
        <w:tc>
          <w:tcPr>
            <w:tcW w:w="80" w:type="dxa"/>
            <w:vAlign w:val="bottom"/>
          </w:tcPr>
          <w:p>
            <w:pPr>
              <w:spacing w:after="0"/>
              <w:rPr>
                <w:sz w:val="15"/>
                <w:szCs w:val="15"/>
                <w:color w:val="auto"/>
              </w:rPr>
            </w:pPr>
          </w:p>
        </w:tc>
      </w:tr>
      <w:tr>
        <w:trPr>
          <w:trHeight w:val="180"/>
        </w:trPr>
        <w:tc>
          <w:tcPr>
            <w:tcW w:w="7260" w:type="dxa"/>
            <w:vAlign w:val="bottom"/>
            <w:shd w:val="clear" w:color="auto" w:fill="CFF0FC"/>
          </w:tcPr>
          <w:p>
            <w:pPr>
              <w:ind w:left="420"/>
              <w:spacing w:after="0" w:line="180" w:lineRule="exact"/>
              <w:rPr>
                <w:sz w:val="20"/>
                <w:szCs w:val="20"/>
                <w:color w:val="auto"/>
              </w:rPr>
            </w:pPr>
            <w:r>
              <w:rPr>
                <w:rFonts w:ascii="Times New Roman" w:cs="Times New Roman" w:eastAsia="Times New Roman" w:hAnsi="Times New Roman"/>
                <w:sz w:val="16"/>
                <w:szCs w:val="16"/>
                <w:color w:val="auto"/>
              </w:rPr>
              <w:t>Allowance for credit losses</w:t>
            </w:r>
          </w:p>
        </w:tc>
        <w:tc>
          <w:tcPr>
            <w:tcW w:w="3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(80,122)</w:t>
            </w:r>
          </w:p>
        </w:tc>
        <w:tc>
          <w:tcPr>
            <w:tcW w:w="4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(86,842)</w:t>
            </w:r>
          </w:p>
        </w:tc>
      </w:tr>
      <w:tr>
        <w:trPr>
          <w:trHeight w:val="180"/>
        </w:trPr>
        <w:tc>
          <w:tcPr>
            <w:tcW w:w="726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Net loans and lease finance receivables</w:t>
            </w: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8,456,310</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8,818,068</w:t>
            </w:r>
          </w:p>
        </w:tc>
        <w:tc>
          <w:tcPr>
            <w:tcW w:w="80" w:type="dxa"/>
            <w:vAlign w:val="bottom"/>
          </w:tcPr>
          <w:p>
            <w:pPr>
              <w:spacing w:after="0"/>
              <w:rPr>
                <w:sz w:val="15"/>
                <w:szCs w:val="15"/>
                <w:color w:val="auto"/>
              </w:rPr>
            </w:pP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Premises and equipment, net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27,543</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44,709</w:t>
            </w:r>
          </w:p>
        </w:tc>
        <w:tc>
          <w:tcPr>
            <w:tcW w:w="80" w:type="dxa"/>
            <w:vAlign w:val="bottom"/>
            <w:shd w:val="clear" w:color="auto" w:fill="CFF0FC"/>
          </w:tcPr>
          <w:p>
            <w:pPr>
              <w:spacing w:after="0"/>
              <w:rPr>
                <w:sz w:val="15"/>
                <w:szCs w:val="15"/>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Bank owned life insurance (BOLI)</w:t>
            </w:r>
          </w:p>
        </w:tc>
        <w:tc>
          <w:tcPr>
            <w:tcW w:w="340" w:type="dxa"/>
            <w:vAlign w:val="bottom"/>
          </w:tcPr>
          <w:p>
            <w:pPr>
              <w:spacing w:after="0"/>
              <w:rPr>
                <w:sz w:val="15"/>
                <w:szCs w:val="15"/>
                <w:color w:val="auto"/>
              </w:rPr>
            </w:pPr>
          </w:p>
        </w:tc>
        <w:tc>
          <w:tcPr>
            <w:tcW w:w="14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316,248</w:t>
            </w:r>
          </w:p>
        </w:tc>
        <w:tc>
          <w:tcPr>
            <w:tcW w:w="44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308,706</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Accrued interest receivable</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45,716</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48,994</w:t>
            </w:r>
          </w:p>
        </w:tc>
        <w:tc>
          <w:tcPr>
            <w:tcW w:w="80" w:type="dxa"/>
            <w:vAlign w:val="bottom"/>
            <w:shd w:val="clear" w:color="auto" w:fill="CFF0FC"/>
          </w:tcPr>
          <w:p>
            <w:pPr>
              <w:spacing w:after="0"/>
              <w:rPr>
                <w:sz w:val="15"/>
                <w:szCs w:val="15"/>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Intangibles</w:t>
            </w:r>
          </w:p>
        </w:tc>
        <w:tc>
          <w:tcPr>
            <w:tcW w:w="340" w:type="dxa"/>
            <w:vAlign w:val="bottom"/>
          </w:tcPr>
          <w:p>
            <w:pPr>
              <w:spacing w:after="0"/>
              <w:rPr>
                <w:sz w:val="15"/>
                <w:szCs w:val="15"/>
                <w:color w:val="auto"/>
              </w:rPr>
            </w:pPr>
          </w:p>
        </w:tc>
        <w:tc>
          <w:tcPr>
            <w:tcW w:w="14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9,967</w:t>
            </w:r>
          </w:p>
        </w:tc>
        <w:tc>
          <w:tcPr>
            <w:tcW w:w="4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15,291</w:t>
            </w:r>
          </w:p>
        </w:tc>
        <w:tc>
          <w:tcPr>
            <w:tcW w:w="80" w:type="dxa"/>
            <w:vAlign w:val="bottom"/>
          </w:tcPr>
          <w:p>
            <w:pPr>
              <w:spacing w:after="0"/>
              <w:rPr>
                <w:sz w:val="15"/>
                <w:szCs w:val="15"/>
                <w:color w:val="auto"/>
              </w:rPr>
            </w:pP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765,822</w:t>
            </w:r>
          </w:p>
        </w:tc>
        <w:tc>
          <w:tcPr>
            <w:tcW w:w="4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765,822</w:t>
            </w: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spacing w:after="0"/>
              <w:rPr>
                <w:sz w:val="15"/>
                <w:szCs w:val="15"/>
                <w:color w:val="auto"/>
              </w:rPr>
            </w:pPr>
          </w:p>
        </w:tc>
        <w:tc>
          <w:tcPr>
            <w:tcW w:w="14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171,178</w:t>
            </w:r>
          </w:p>
        </w:tc>
        <w:tc>
          <w:tcPr>
            <w:tcW w:w="44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163,968</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215,898</w:t>
            </w:r>
          </w:p>
        </w:tc>
        <w:tc>
          <w:tcPr>
            <w:tcW w:w="4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127,187</w:t>
            </w:r>
          </w:p>
        </w:tc>
      </w:tr>
      <w:tr>
        <w:trPr>
          <w:trHeight w:val="180"/>
        </w:trPr>
        <w:tc>
          <w:tcPr>
            <w:tcW w:w="7260" w:type="dxa"/>
            <w:vAlign w:val="bottom"/>
          </w:tcPr>
          <w:p>
            <w:pPr>
              <w:ind w:left="580"/>
              <w:spacing w:after="0" w:line="16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15,153,655</w:t>
            </w:r>
          </w:p>
        </w:tc>
        <w:tc>
          <w:tcPr>
            <w:tcW w:w="280" w:type="dxa"/>
            <w:vAlign w:val="bottom"/>
          </w:tcPr>
          <w:p>
            <w:pPr>
              <w:spacing w:after="0"/>
              <w:rPr>
                <w:sz w:val="15"/>
                <w:szCs w:val="15"/>
                <w:color w:val="auto"/>
              </w:rPr>
            </w:pPr>
          </w:p>
        </w:tc>
        <w:tc>
          <w:tcPr>
            <w:tcW w:w="440" w:type="dxa"/>
            <w:vAlign w:val="bottom"/>
            <w:tcBorders>
              <w:bottom w:val="single" w:sz="8" w:color="auto"/>
            </w:tcBorders>
          </w:tcPr>
          <w:p>
            <w:pPr>
              <w:jc w:val="right"/>
              <w:ind w:right="26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16,020,993</w:t>
            </w:r>
          </w:p>
        </w:tc>
        <w:tc>
          <w:tcPr>
            <w:tcW w:w="80" w:type="dxa"/>
            <w:vAlign w:val="bottom"/>
          </w:tcPr>
          <w:p>
            <w:pPr>
              <w:spacing w:after="0"/>
              <w:rPr>
                <w:sz w:val="15"/>
                <w:szCs w:val="15"/>
                <w:color w:val="auto"/>
              </w:rPr>
            </w:pPr>
          </w:p>
        </w:tc>
      </w:tr>
      <w:tr>
        <w:trPr>
          <w:trHeight w:val="20"/>
        </w:trPr>
        <w:tc>
          <w:tcPr>
            <w:tcW w:w="7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Liabilities: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26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Deposits: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726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Noninterest-bearing</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7,037,096</w:t>
            </w:r>
          </w:p>
        </w:tc>
        <w:tc>
          <w:tcPr>
            <w:tcW w:w="280" w:type="dxa"/>
            <w:vAlign w:val="bottom"/>
          </w:tcPr>
          <w:p>
            <w:pPr>
              <w:spacing w:after="0"/>
              <w:rPr>
                <w:sz w:val="15"/>
                <w:szCs w:val="15"/>
                <w:color w:val="auto"/>
              </w:rPr>
            </w:pPr>
          </w:p>
        </w:tc>
        <w:tc>
          <w:tcPr>
            <w:tcW w:w="44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7,206,175</w:t>
            </w:r>
          </w:p>
        </w:tc>
        <w:tc>
          <w:tcPr>
            <w:tcW w:w="80" w:type="dxa"/>
            <w:vAlign w:val="bottom"/>
          </w:tcPr>
          <w:p>
            <w:pPr>
              <w:spacing w:after="0"/>
              <w:rPr>
                <w:sz w:val="15"/>
                <w:szCs w:val="15"/>
                <w:color w:val="auto"/>
              </w:rPr>
            </w:pPr>
          </w:p>
        </w:tc>
      </w:tr>
      <w:tr>
        <w:trPr>
          <w:trHeight w:val="180"/>
        </w:trPr>
        <w:tc>
          <w:tcPr>
            <w:tcW w:w="7260" w:type="dxa"/>
            <w:vAlign w:val="bottom"/>
            <w:shd w:val="clear" w:color="auto" w:fill="CFF0FC"/>
          </w:tcPr>
          <w:p>
            <w:pPr>
              <w:ind w:left="420"/>
              <w:spacing w:after="0" w:line="180" w:lineRule="exact"/>
              <w:rPr>
                <w:sz w:val="20"/>
                <w:szCs w:val="20"/>
                <w:color w:val="auto"/>
              </w:rPr>
            </w:pPr>
            <w:r>
              <w:rPr>
                <w:rFonts w:ascii="Times New Roman" w:cs="Times New Roman" w:eastAsia="Times New Roman" w:hAnsi="Times New Roman"/>
                <w:sz w:val="16"/>
                <w:szCs w:val="16"/>
                <w:color w:val="auto"/>
              </w:rPr>
              <w:t>Interest-bearing</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4,911,285</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4,227,467</w:t>
            </w:r>
          </w:p>
        </w:tc>
        <w:tc>
          <w:tcPr>
            <w:tcW w:w="80" w:type="dxa"/>
            <w:vAlign w:val="bottom"/>
            <w:shd w:val="clear" w:color="auto" w:fill="CFF0FC"/>
          </w:tcPr>
          <w:p>
            <w:pPr>
              <w:spacing w:after="0"/>
              <w:rPr>
                <w:sz w:val="15"/>
                <w:szCs w:val="15"/>
                <w:color w:val="auto"/>
              </w:rPr>
            </w:pPr>
          </w:p>
        </w:tc>
      </w:tr>
      <w:tr>
        <w:trPr>
          <w:trHeight w:val="180"/>
        </w:trPr>
        <w:tc>
          <w:tcPr>
            <w:tcW w:w="7260" w:type="dxa"/>
            <w:vAlign w:val="bottom"/>
          </w:tcPr>
          <w:p>
            <w:pPr>
              <w:ind w:left="580"/>
              <w:spacing w:after="0" w:line="180" w:lineRule="exact"/>
              <w:rPr>
                <w:sz w:val="20"/>
                <w:szCs w:val="20"/>
                <w:color w:val="auto"/>
              </w:rPr>
            </w:pPr>
            <w:r>
              <w:rPr>
                <w:rFonts w:ascii="Times New Roman" w:cs="Times New Roman" w:eastAsia="Times New Roman" w:hAnsi="Times New Roman"/>
                <w:sz w:val="16"/>
                <w:szCs w:val="16"/>
                <w:b w:val="1"/>
                <w:bCs w:val="1"/>
                <w:color w:val="auto"/>
              </w:rPr>
              <w:t>Total deposits</w:t>
            </w: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11,948,381</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11,433,642</w:t>
            </w:r>
          </w:p>
        </w:tc>
        <w:tc>
          <w:tcPr>
            <w:tcW w:w="80" w:type="dxa"/>
            <w:vAlign w:val="bottom"/>
          </w:tcPr>
          <w:p>
            <w:pPr>
              <w:spacing w:after="0"/>
              <w:rPr>
                <w:sz w:val="15"/>
                <w:szCs w:val="15"/>
                <w:color w:val="auto"/>
              </w:rPr>
            </w:pPr>
          </w:p>
        </w:tc>
      </w:tr>
      <w:tr>
        <w:trPr>
          <w:trHeight w:val="180"/>
        </w:trPr>
        <w:tc>
          <w:tcPr>
            <w:tcW w:w="726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Customer repurchase agreements</w:t>
            </w:r>
          </w:p>
        </w:tc>
        <w:tc>
          <w:tcPr>
            <w:tcW w:w="3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261,887</w:t>
            </w:r>
          </w:p>
        </w:tc>
        <w:tc>
          <w:tcPr>
            <w:tcW w:w="4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271,642</w:t>
            </w:r>
          </w:p>
        </w:tc>
      </w:tr>
      <w:tr>
        <w:trPr>
          <w:trHeight w:val="180"/>
        </w:trPr>
        <w:tc>
          <w:tcPr>
            <w:tcW w:w="726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Other borrowings</w:t>
            </w:r>
          </w:p>
        </w:tc>
        <w:tc>
          <w:tcPr>
            <w:tcW w:w="340" w:type="dxa"/>
            <w:vAlign w:val="bottom"/>
          </w:tcPr>
          <w:p>
            <w:pPr>
              <w:spacing w:after="0"/>
              <w:rPr>
                <w:sz w:val="15"/>
                <w:szCs w:val="15"/>
                <w:color w:val="auto"/>
              </w:rPr>
            </w:pPr>
          </w:p>
        </w:tc>
        <w:tc>
          <w:tcPr>
            <w:tcW w:w="14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4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2,070,000</w:t>
            </w:r>
          </w:p>
        </w:tc>
        <w:tc>
          <w:tcPr>
            <w:tcW w:w="80" w:type="dxa"/>
            <w:vAlign w:val="bottom"/>
          </w:tcPr>
          <w:p>
            <w:pPr>
              <w:spacing w:after="0"/>
              <w:rPr>
                <w:sz w:val="15"/>
                <w:szCs w:val="15"/>
                <w:color w:val="auto"/>
              </w:rPr>
            </w:pPr>
          </w:p>
        </w:tc>
      </w:tr>
      <w:tr>
        <w:trPr>
          <w:trHeight w:val="180"/>
        </w:trPr>
        <w:tc>
          <w:tcPr>
            <w:tcW w:w="726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Deferred compensation</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22,909</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22,335</w:t>
            </w:r>
          </w:p>
        </w:tc>
        <w:tc>
          <w:tcPr>
            <w:tcW w:w="80" w:type="dxa"/>
            <w:vAlign w:val="bottom"/>
            <w:shd w:val="clear" w:color="auto" w:fill="CFF0FC"/>
          </w:tcPr>
          <w:p>
            <w:pPr>
              <w:spacing w:after="0"/>
              <w:rPr>
                <w:sz w:val="15"/>
                <w:szCs w:val="15"/>
                <w:color w:val="auto"/>
              </w:rPr>
            </w:pPr>
          </w:p>
        </w:tc>
      </w:tr>
      <w:tr>
        <w:trPr>
          <w:trHeight w:val="180"/>
        </w:trPr>
        <w:tc>
          <w:tcPr>
            <w:tcW w:w="726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Accrued interest payable</w:t>
            </w:r>
          </w:p>
        </w:tc>
        <w:tc>
          <w:tcPr>
            <w:tcW w:w="340" w:type="dxa"/>
            <w:vAlign w:val="bottom"/>
          </w:tcPr>
          <w:p>
            <w:pPr>
              <w:spacing w:after="0"/>
              <w:rPr>
                <w:sz w:val="15"/>
                <w:szCs w:val="15"/>
                <w:color w:val="auto"/>
              </w:rPr>
            </w:pPr>
          </w:p>
        </w:tc>
        <w:tc>
          <w:tcPr>
            <w:tcW w:w="14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5,047</w:t>
            </w:r>
          </w:p>
        </w:tc>
        <w:tc>
          <w:tcPr>
            <w:tcW w:w="4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23,268</w:t>
            </w:r>
          </w:p>
        </w:tc>
        <w:tc>
          <w:tcPr>
            <w:tcW w:w="80" w:type="dxa"/>
            <w:vAlign w:val="bottom"/>
          </w:tcPr>
          <w:p>
            <w:pPr>
              <w:spacing w:after="0"/>
              <w:rPr>
                <w:sz w:val="15"/>
                <w:szCs w:val="15"/>
                <w:color w:val="auto"/>
              </w:rPr>
            </w:pPr>
          </w:p>
        </w:tc>
      </w:tr>
      <w:tr>
        <w:trPr>
          <w:trHeight w:val="180"/>
        </w:trPr>
        <w:tc>
          <w:tcPr>
            <w:tcW w:w="726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229,115</w:t>
            </w:r>
          </w:p>
        </w:tc>
        <w:tc>
          <w:tcPr>
            <w:tcW w:w="4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122,134</w:t>
            </w:r>
          </w:p>
        </w:tc>
      </w:tr>
      <w:tr>
        <w:trPr>
          <w:trHeight w:val="205"/>
        </w:trPr>
        <w:tc>
          <w:tcPr>
            <w:tcW w:w="72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12,967,339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13,943,021</w:t>
            </w:r>
          </w:p>
        </w:tc>
        <w:tc>
          <w:tcPr>
            <w:tcW w:w="80" w:type="dxa"/>
            <w:vAlign w:val="bottom"/>
          </w:tcPr>
          <w:p>
            <w:pPr>
              <w:spacing w:after="0"/>
              <w:rPr>
                <w:sz w:val="17"/>
                <w:szCs w:val="17"/>
                <w:color w:val="auto"/>
              </w:rPr>
            </w:pPr>
          </w:p>
        </w:tc>
      </w:tr>
      <w:tr>
        <w:trPr>
          <w:trHeight w:val="155"/>
        </w:trPr>
        <w:tc>
          <w:tcPr>
            <w:tcW w:w="7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Stockholders' Equity</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7"/>
        </w:trPr>
        <w:tc>
          <w:tcPr>
            <w:tcW w:w="7260" w:type="dxa"/>
            <w:vAlign w:val="bottom"/>
            <w:shd w:val="clear" w:color="auto" w:fill="CFF0FC"/>
          </w:tcPr>
          <w:p>
            <w:pPr>
              <w:ind w:left="260"/>
              <w:spacing w:after="0" w:line="167" w:lineRule="exact"/>
              <w:rPr>
                <w:sz w:val="20"/>
                <w:szCs w:val="20"/>
                <w:color w:val="auto"/>
              </w:rPr>
            </w:pPr>
            <w:r>
              <w:rPr>
                <w:rFonts w:ascii="Times New Roman" w:cs="Times New Roman" w:eastAsia="Times New Roman" w:hAnsi="Times New Roman"/>
                <w:sz w:val="16"/>
                <w:szCs w:val="16"/>
                <w:color w:val="auto"/>
              </w:rPr>
              <w:t>Common stock, authorized, 225,000,000 shares without par; issued and</w:t>
            </w: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0"/>
        </w:trPr>
        <w:tc>
          <w:tcPr>
            <w:tcW w:w="7260" w:type="dxa"/>
            <w:vAlign w:val="bottom"/>
            <w:shd w:val="clear" w:color="auto" w:fill="CFF0FC"/>
          </w:tcPr>
          <w:p>
            <w:pPr>
              <w:ind w:left="380"/>
              <w:spacing w:after="0" w:line="180" w:lineRule="exact"/>
              <w:rPr>
                <w:sz w:val="20"/>
                <w:szCs w:val="20"/>
                <w:color w:val="auto"/>
              </w:rPr>
            </w:pPr>
            <w:r>
              <w:rPr>
                <w:rFonts w:ascii="Times New Roman" w:cs="Times New Roman" w:eastAsia="Times New Roman" w:hAnsi="Times New Roman"/>
                <w:sz w:val="16"/>
                <w:szCs w:val="16"/>
                <w:color w:val="auto"/>
              </w:rPr>
              <w:t>outstanding 139,690,086 at December 31, 2024 and 139,344,981 at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3"/>
        </w:trPr>
        <w:tc>
          <w:tcPr>
            <w:tcW w:w="7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December 31, 2023</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1,296,881</w:t>
            </w: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1,288,899</w:t>
            </w:r>
          </w:p>
        </w:tc>
        <w:tc>
          <w:tcPr>
            <w:tcW w:w="80" w:type="dxa"/>
            <w:vAlign w:val="bottom"/>
            <w:shd w:val="clear" w:color="auto" w:fill="CFF0FC"/>
          </w:tcPr>
          <w:p>
            <w:pPr>
              <w:spacing w:after="0"/>
              <w:rPr>
                <w:sz w:val="16"/>
                <w:szCs w:val="16"/>
                <w:color w:val="auto"/>
              </w:rPr>
            </w:pPr>
          </w:p>
        </w:tc>
      </w:tr>
      <w:tr>
        <w:trPr>
          <w:trHeight w:val="180"/>
        </w:trPr>
        <w:tc>
          <w:tcPr>
            <w:tcW w:w="726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1,201,499</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1,112,642</w:t>
            </w:r>
          </w:p>
        </w:tc>
        <w:tc>
          <w:tcPr>
            <w:tcW w:w="80" w:type="dxa"/>
            <w:vAlign w:val="bottom"/>
          </w:tcPr>
          <w:p>
            <w:pPr>
              <w:spacing w:after="0"/>
              <w:rPr>
                <w:sz w:val="15"/>
                <w:szCs w:val="15"/>
                <w:color w:val="auto"/>
              </w:rPr>
            </w:pPr>
          </w:p>
        </w:tc>
      </w:tr>
      <w:tr>
        <w:trPr>
          <w:trHeight w:val="180"/>
        </w:trPr>
        <w:tc>
          <w:tcPr>
            <w:tcW w:w="726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loss, net of tax</w:t>
            </w:r>
          </w:p>
        </w:tc>
        <w:tc>
          <w:tcPr>
            <w:tcW w:w="3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(312,064)</w:t>
            </w:r>
          </w:p>
        </w:tc>
        <w:tc>
          <w:tcPr>
            <w:tcW w:w="4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(323,569)</w:t>
            </w:r>
          </w:p>
        </w:tc>
      </w:tr>
      <w:tr>
        <w:trPr>
          <w:trHeight w:val="180"/>
        </w:trPr>
        <w:tc>
          <w:tcPr>
            <w:tcW w:w="7260" w:type="dxa"/>
            <w:vAlign w:val="bottom"/>
          </w:tcPr>
          <w:p>
            <w:pPr>
              <w:ind w:left="580"/>
              <w:spacing w:after="0" w:line="180" w:lineRule="exact"/>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2,186,316</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2,077,972</w:t>
            </w:r>
          </w:p>
        </w:tc>
        <w:tc>
          <w:tcPr>
            <w:tcW w:w="80" w:type="dxa"/>
            <w:vAlign w:val="bottom"/>
          </w:tcPr>
          <w:p>
            <w:pPr>
              <w:spacing w:after="0"/>
              <w:rPr>
                <w:sz w:val="15"/>
                <w:szCs w:val="15"/>
                <w:color w:val="auto"/>
              </w:rPr>
            </w:pPr>
          </w:p>
        </w:tc>
      </w:tr>
      <w:tr>
        <w:trPr>
          <w:trHeight w:val="220"/>
        </w:trPr>
        <w:tc>
          <w:tcPr>
            <w:tcW w:w="7260" w:type="dxa"/>
            <w:vAlign w:val="bottom"/>
            <w:tcBorders>
              <w:bottom w:val="single" w:sz="8" w:color="CFF0FC"/>
            </w:tcBorders>
            <w:shd w:val="clear" w:color="auto" w:fill="CFF0FC"/>
          </w:tcPr>
          <w:p>
            <w:pPr>
              <w:ind w:left="820"/>
              <w:spacing w:after="0" w:line="160" w:lineRule="exact"/>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40" w:type="dxa"/>
            <w:vAlign w:val="bottom"/>
            <w:tcBorders>
              <w:bottom w:val="single" w:sz="8" w:color="auto"/>
            </w:tcBorders>
            <w:shd w:val="clear" w:color="auto" w:fill="CFF0FC"/>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15,153,655</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6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16,020,993</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EARNINGS AND COMPREHENSIVE INCOME</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Loans and leases, including fees</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455,755</w:t>
            </w:r>
          </w:p>
        </w:tc>
        <w:tc>
          <w:tcPr>
            <w:tcW w:w="140" w:type="dxa"/>
            <w:vAlign w:val="bottom"/>
          </w:tcPr>
          <w:p>
            <w:pPr>
              <w:spacing w:after="0"/>
              <w:rPr>
                <w:sz w:val="13"/>
                <w:szCs w:val="13"/>
                <w:color w:val="auto"/>
              </w:rPr>
            </w:pPr>
          </w:p>
        </w:tc>
        <w:tc>
          <w:tcPr>
            <w:tcW w:w="1060" w:type="dxa"/>
            <w:vAlign w:val="bottom"/>
            <w:gridSpan w:val="2"/>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448,295</w:t>
            </w:r>
          </w:p>
        </w:tc>
        <w:tc>
          <w:tcPr>
            <w:tcW w:w="240" w:type="dxa"/>
            <w:vAlign w:val="bottom"/>
          </w:tcPr>
          <w:p>
            <w:pPr>
              <w:spacing w:after="0"/>
              <w:rPr>
                <w:sz w:val="13"/>
                <w:szCs w:val="13"/>
                <w:color w:val="auto"/>
              </w:rPr>
            </w:pP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389,192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Investment securities:</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Investment securities available-for-sale</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80,890</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83,563</w:t>
            </w:r>
          </w:p>
        </w:tc>
        <w:tc>
          <w:tcPr>
            <w:tcW w:w="34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68,508</w:t>
            </w: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Investment securities held-to-maturity</w:t>
            </w:r>
          </w:p>
        </w:tc>
        <w:tc>
          <w:tcPr>
            <w:tcW w:w="9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53,151</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54,750</w:t>
            </w: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49,048</w:t>
            </w:r>
          </w:p>
        </w:tc>
        <w:tc>
          <w:tcPr>
            <w:tcW w:w="0" w:type="dxa"/>
            <w:vAlign w:val="bottom"/>
          </w:tcPr>
          <w:p>
            <w:pPr>
              <w:spacing w:after="0"/>
              <w:rPr>
                <w:sz w:val="1"/>
                <w:szCs w:val="1"/>
                <w:color w:val="auto"/>
              </w:rPr>
            </w:pPr>
          </w:p>
        </w:tc>
      </w:tr>
      <w:tr>
        <w:trPr>
          <w:trHeight w:val="156"/>
        </w:trPr>
        <w:tc>
          <w:tcPr>
            <w:tcW w:w="570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134,041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138,313</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Dividends from FHLB stock</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1,861</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Interest-earning deposits with other institutions</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38,765</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17,861</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3"/>
                <w:szCs w:val="13"/>
                <w:b w:val="1"/>
                <w:bCs w:val="1"/>
                <w:color w:val="auto"/>
              </w:rPr>
              <w:t>Total interest income</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630,112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606,330</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514,668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Deposits</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105,483</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51,535</w:t>
            </w: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Borrowings and customer repurchase agreements</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76,709</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66,805</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570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Total interest expense</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182,765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118,340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9,155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5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interest income before provision for (recapture of) credit losses</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447,347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487,990</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505,513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92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(3,000)</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10,600</w:t>
            </w: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Net interest income after provision for (recapture of) credit losses</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450,347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485,990</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494,913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9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20,370</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20,219</w:t>
            </w: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21,382</w:t>
            </w:r>
          </w:p>
        </w:tc>
        <w:tc>
          <w:tcPr>
            <w:tcW w:w="0" w:type="dxa"/>
            <w:vAlign w:val="bottom"/>
          </w:tcPr>
          <w:p>
            <w:pPr>
              <w:spacing w:after="0"/>
              <w:rPr>
                <w:sz w:val="1"/>
                <w:szCs w:val="1"/>
                <w:color w:val="auto"/>
              </w:rPr>
            </w:pPr>
          </w:p>
        </w:tc>
      </w:tr>
      <w:tr>
        <w:trPr>
          <w:trHeight w:val="15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Trust and investment services</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13,729</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12,556</w:t>
            </w:r>
          </w:p>
        </w:tc>
        <w:tc>
          <w:tcPr>
            <w:tcW w:w="34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11,518</w:t>
            </w: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Bankcard services</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BOLI income</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12,420</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12,751</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Loss on sale of investment securities</w:t>
            </w:r>
          </w:p>
        </w:tc>
        <w:tc>
          <w:tcPr>
            <w:tcW w:w="9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(28,317)</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Gain on sale leaseback transactions</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25,900</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Gain on sale of building, net</w:t>
            </w:r>
          </w:p>
        </w:tc>
        <w:tc>
          <w:tcPr>
            <w:tcW w:w="9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12,177</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b w:val="1"/>
                <w:bCs w:val="1"/>
                <w:color w:val="auto"/>
              </w:rPr>
              <w:t>Total noninterest income</w:t>
            </w:r>
          </w:p>
        </w:tc>
        <w:tc>
          <w:tcPr>
            <w:tcW w:w="9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54,474</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59,330</w:t>
            </w: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49,989</w:t>
            </w:r>
          </w:p>
        </w:tc>
        <w:tc>
          <w:tcPr>
            <w:tcW w:w="0" w:type="dxa"/>
            <w:vAlign w:val="bottom"/>
          </w:tcPr>
          <w:p>
            <w:pPr>
              <w:spacing w:after="0"/>
              <w:rPr>
                <w:sz w:val="1"/>
                <w:szCs w:val="1"/>
                <w:color w:val="auto"/>
              </w:rPr>
            </w:pPr>
          </w:p>
        </w:tc>
      </w:tr>
      <w:tr>
        <w:trPr>
          <w:trHeight w:val="15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144,472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139,191</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131,596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Occupancy and equipment</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23,407</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22,109</w:t>
            </w:r>
          </w:p>
        </w:tc>
        <w:tc>
          <w:tcPr>
            <w:tcW w:w="34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22,737</w:t>
            </w: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Professional services</w:t>
            </w:r>
          </w:p>
        </w:tc>
        <w:tc>
          <w:tcPr>
            <w:tcW w:w="9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10,482</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9,082</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Computer software expense</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15,301</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14,051</w:t>
            </w:r>
          </w:p>
        </w:tc>
        <w:tc>
          <w:tcPr>
            <w:tcW w:w="34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13,503</w:t>
            </w: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Marketing and promotion</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7,307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6,756</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(Recapture of) provision for unfunded loan commitments</w:t>
            </w:r>
          </w:p>
        </w:tc>
        <w:tc>
          <w:tcPr>
            <w:tcW w:w="92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(500 )</w:t>
            </w:r>
          </w:p>
        </w:tc>
        <w:tc>
          <w:tcPr>
            <w:tcW w:w="34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5,324</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6,452</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7,566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Acquisition related expenses</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28,540</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32,745</w:t>
            </w: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19,482</w:t>
            </w:r>
          </w:p>
        </w:tc>
        <w:tc>
          <w:tcPr>
            <w:tcW w:w="0" w:type="dxa"/>
            <w:vAlign w:val="bottom"/>
          </w:tcPr>
          <w:p>
            <w:pPr>
              <w:spacing w:after="0"/>
              <w:rPr>
                <w:sz w:val="1"/>
                <w:szCs w:val="1"/>
                <w:color w:val="auto"/>
              </w:rPr>
            </w:pPr>
          </w:p>
        </w:tc>
      </w:tr>
      <w:tr>
        <w:trPr>
          <w:trHeight w:val="156"/>
        </w:trPr>
        <w:tc>
          <w:tcPr>
            <w:tcW w:w="57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noninterest expense</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233,583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229,886</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216,555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Earnings before income taxes</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271,238</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315,434</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328,347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70,522</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93,999</w:t>
            </w:r>
          </w:p>
        </w:tc>
        <w:tc>
          <w:tcPr>
            <w:tcW w:w="34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92,922</w:t>
            </w: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Net earnings</w:t>
            </w:r>
          </w:p>
        </w:tc>
        <w:tc>
          <w:tcPr>
            <w:tcW w:w="92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200,716</w:t>
            </w: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221,435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235,425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5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Unrealized gain (loss) on securities and derivatives during the period, before tax</w:t>
            </w:r>
          </w:p>
        </w:tc>
        <w:tc>
          <w:tcPr>
            <w:tcW w:w="92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16,371</w:t>
            </w:r>
          </w:p>
        </w:tc>
        <w:tc>
          <w:tcPr>
            <w:tcW w:w="1060" w:type="dxa"/>
            <w:vAlign w:val="bottom"/>
            <w:gridSpan w:val="2"/>
            <w:shd w:val="clear" w:color="auto" w:fill="CFF0FC"/>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44,306</w:t>
            </w:r>
          </w:p>
        </w:tc>
        <w:tc>
          <w:tcPr>
            <w:tcW w:w="3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(498,078)</w:t>
            </w:r>
          </w:p>
        </w:tc>
        <w:tc>
          <w:tcPr>
            <w:tcW w:w="0" w:type="dxa"/>
            <w:vAlign w:val="bottom"/>
          </w:tcPr>
          <w:p>
            <w:pPr>
              <w:spacing w:after="0"/>
              <w:rPr>
                <w:sz w:val="1"/>
                <w:szCs w:val="1"/>
                <w:color w:val="auto"/>
              </w:rPr>
            </w:pPr>
          </w:p>
        </w:tc>
      </w:tr>
      <w:tr>
        <w:trPr>
          <w:trHeight w:val="144"/>
        </w:trPr>
        <w:tc>
          <w:tcPr>
            <w:tcW w:w="570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Less: Income tax (expense) benefit related to items of other</w:t>
            </w: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comprehensive income</w:t>
            </w:r>
          </w:p>
        </w:tc>
        <w:tc>
          <w:tcPr>
            <w:tcW w:w="9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(4,866)</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(13,079)</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9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11,505</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31,227</w:t>
            </w: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(350,828)</w:t>
            </w:r>
          </w:p>
        </w:tc>
        <w:tc>
          <w:tcPr>
            <w:tcW w:w="0" w:type="dxa"/>
            <w:vAlign w:val="bottom"/>
          </w:tcPr>
          <w:p>
            <w:pPr>
              <w:spacing w:after="0"/>
              <w:rPr>
                <w:sz w:val="1"/>
                <w:szCs w:val="1"/>
                <w:color w:val="auto"/>
              </w:rPr>
            </w:pPr>
          </w:p>
        </w:tc>
      </w:tr>
      <w:tr>
        <w:trPr>
          <w:trHeight w:val="156"/>
        </w:trPr>
        <w:tc>
          <w:tcPr>
            <w:tcW w:w="5700" w:type="dxa"/>
            <w:vAlign w:val="bottom"/>
          </w:tcPr>
          <w:p>
            <w:pPr>
              <w:ind w:left="340"/>
              <w:spacing w:after="0" w:line="136" w:lineRule="exact"/>
              <w:rPr>
                <w:sz w:val="20"/>
                <w:szCs w:val="20"/>
                <w:color w:val="auto"/>
              </w:rPr>
            </w:pPr>
            <w:r>
              <w:rPr>
                <w:rFonts w:ascii="Times New Roman" w:cs="Times New Roman" w:eastAsia="Times New Roman" w:hAnsi="Times New Roman"/>
                <w:sz w:val="13"/>
                <w:szCs w:val="13"/>
                <w:color w:val="auto"/>
              </w:rPr>
              <w:t>Comprehensive income (loss)</w:t>
            </w:r>
          </w:p>
        </w:tc>
        <w:tc>
          <w:tcPr>
            <w:tcW w:w="920" w:type="dxa"/>
            <w:vAlign w:val="bottom"/>
          </w:tcPr>
          <w:p>
            <w:pPr>
              <w:jc w:val="right"/>
              <w:ind w:right="7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212,221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7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252,662</w:t>
            </w:r>
          </w:p>
        </w:tc>
        <w:tc>
          <w:tcPr>
            <w:tcW w:w="240" w:type="dxa"/>
            <w:vAlign w:val="bottom"/>
          </w:tcPr>
          <w:p>
            <w:pPr>
              <w:spacing w:after="0"/>
              <w:rPr>
                <w:sz w:val="13"/>
                <w:szCs w:val="13"/>
                <w:color w:val="auto"/>
              </w:rPr>
            </w:pPr>
          </w:p>
        </w:tc>
        <w:tc>
          <w:tcPr>
            <w:tcW w:w="340" w:type="dxa"/>
            <w:vAlign w:val="bottom"/>
          </w:tcPr>
          <w:p>
            <w:pPr>
              <w:jc w:val="right"/>
              <w:ind w:right="1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(115,403 </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2"/>
          </w:tcPr>
          <w:p>
            <w:pPr>
              <w:spacing w:after="0"/>
              <w:rPr>
                <w:sz w:val="11"/>
                <w:szCs w:val="11"/>
                <w:color w:val="auto"/>
              </w:rPr>
            </w:pPr>
          </w:p>
        </w:tc>
        <w:tc>
          <w:tcPr>
            <w:tcW w:w="1060" w:type="dxa"/>
            <w:vAlign w:val="bottom"/>
            <w:gridSpan w:val="2"/>
          </w:tcPr>
          <w:p>
            <w:pPr>
              <w:spacing w:after="0"/>
              <w:rPr>
                <w:sz w:val="11"/>
                <w:szCs w:val="11"/>
                <w:color w:val="auto"/>
              </w:rPr>
            </w:pPr>
          </w:p>
        </w:tc>
        <w:tc>
          <w:tcPr>
            <w:tcW w:w="74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Basic earnings per common share</w:t>
            </w:r>
          </w:p>
        </w:tc>
        <w:tc>
          <w:tcPr>
            <w:tcW w:w="92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1.44</w:t>
            </w:r>
          </w:p>
        </w:tc>
        <w:tc>
          <w:tcPr>
            <w:tcW w:w="1060" w:type="dxa"/>
            <w:vAlign w:val="bottom"/>
            <w:gridSpan w:val="2"/>
            <w:shd w:val="clear" w:color="auto" w:fill="CFF0FC"/>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1.59</w:t>
            </w:r>
          </w:p>
        </w:tc>
        <w:tc>
          <w:tcPr>
            <w:tcW w:w="3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72"/>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1.44</w:t>
            </w:r>
          </w:p>
        </w:tc>
        <w:tc>
          <w:tcPr>
            <w:tcW w:w="1060" w:type="dxa"/>
            <w:vAlign w:val="bottom"/>
            <w:gridSpan w:val="2"/>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1.59</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91" w:name="page92"/>
    <w:bookmarkEnd w:id="91"/>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(Dollars and shares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500" w:type="dxa"/>
            <w:vAlign w:val="bottom"/>
            <w:gridSpan w:val="2"/>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500" w:type="dxa"/>
            <w:vAlign w:val="bottom"/>
            <w:gridSpan w:val="2"/>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3"/>
                <w:szCs w:val="13"/>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January 1, 2022</w:t>
            </w:r>
          </w:p>
        </w:tc>
        <w:tc>
          <w:tcPr>
            <w:tcW w:w="1500" w:type="dxa"/>
            <w:vAlign w:val="bottom"/>
            <w:gridSpan w:val="2"/>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20" w:type="dxa"/>
            <w:vAlign w:val="bottom"/>
          </w:tcPr>
          <w:p>
            <w:pPr>
              <w:spacing w:after="0"/>
              <w:rPr>
                <w:sz w:val="13"/>
                <w:szCs w:val="13"/>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3"/>
                <w:szCs w:val="13"/>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60" w:type="dxa"/>
            <w:vAlign w:val="bottom"/>
          </w:tcPr>
          <w:p>
            <w:pPr>
              <w:spacing w:after="0"/>
              <w:rPr>
                <w:sz w:val="13"/>
                <w:szCs w:val="13"/>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8"/>
        </w:trPr>
        <w:tc>
          <w:tcPr>
            <w:tcW w:w="3460" w:type="dxa"/>
            <w:vAlign w:val="bottom"/>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135,526</w:t>
            </w:r>
          </w:p>
        </w:tc>
        <w:tc>
          <w:tcPr>
            <w:tcW w:w="24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1,209,903</w:t>
            </w:r>
          </w:p>
        </w:tc>
        <w:tc>
          <w:tcPr>
            <w:tcW w:w="24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875,568</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(3,968)</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2,081,503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Issuance of common stock for acquisition of Suncrest Bank</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8,617</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197,069</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197,069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(1,976)</w:t>
            </w:r>
          </w:p>
        </w:tc>
        <w:tc>
          <w:tcPr>
            <w:tcW w:w="22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(46,330)</w:t>
            </w:r>
          </w:p>
        </w:tc>
        <w:tc>
          <w:tcPr>
            <w:tcW w:w="22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(46,330)</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Repurchase of common stock, ASR Plan</w:t>
            </w:r>
          </w:p>
        </w:tc>
        <w:tc>
          <w:tcPr>
            <w:tcW w:w="1500" w:type="dxa"/>
            <w:vAlign w:val="bottom"/>
            <w:gridSpan w:val="2"/>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(2,994)</w:t>
            </w:r>
          </w:p>
        </w:tc>
        <w:tc>
          <w:tcPr>
            <w:tcW w:w="2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(70,000)</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(70,000)</w:t>
            </w:r>
          </w:p>
        </w:tc>
        <w:tc>
          <w:tcPr>
            <w:tcW w:w="0" w:type="dxa"/>
            <w:vAlign w:val="bottom"/>
          </w:tcPr>
          <w:p>
            <w:pPr>
              <w:spacing w:after="0"/>
              <w:rPr>
                <w:sz w:val="1"/>
                <w:szCs w:val="1"/>
                <w:color w:val="auto"/>
              </w:rPr>
            </w:pPr>
          </w:p>
        </w:tc>
      </w:tr>
      <w:tr>
        <w:trPr>
          <w:trHeight w:val="156"/>
        </w:trPr>
        <w:tc>
          <w:tcPr>
            <w:tcW w:w="3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Shares issued pursuant to stock-based compensation plan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7,901</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7,901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Cash dividends declared on common stock ($0.77 per</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15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(108,146)</w:t>
            </w:r>
          </w:p>
        </w:tc>
        <w:tc>
          <w:tcPr>
            <w:tcW w:w="14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(108,146)</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earnings</w:t>
            </w:r>
          </w:p>
        </w:tc>
        <w:tc>
          <w:tcPr>
            <w:tcW w:w="150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235,425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235,425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5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(350,828)</w:t>
            </w: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(350,828)</w:t>
            </w: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12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139,819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1,300,466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1,002,847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 xml:space="preserve">(354,796 </w:t>
            </w:r>
            <w:r>
              <w:rPr>
                <w:rFonts w:ascii="Times New Roman" w:cs="Times New Roman" w:eastAsia="Times New Roman" w:hAnsi="Times New Roman"/>
                <w:sz w:val="15"/>
                <w:szCs w:val="15"/>
                <w:color w:val="auto"/>
                <w:vertAlign w:val="subscript"/>
              </w:rPr>
              <w:t>)</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1,948,517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46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gridSpan w:val="2"/>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(928 )</w:t>
            </w:r>
          </w:p>
        </w:tc>
        <w:tc>
          <w:tcPr>
            <w:tcW w:w="220" w:type="dxa"/>
            <w:vAlign w:val="bottom"/>
          </w:tcPr>
          <w:p>
            <w:pPr>
              <w:spacing w:after="0"/>
              <w:rPr>
                <w:sz w:val="11"/>
                <w:szCs w:val="11"/>
                <w:color w:val="auto"/>
              </w:rPr>
            </w:pPr>
          </w:p>
        </w:tc>
        <w:tc>
          <w:tcPr>
            <w:tcW w:w="12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(21,216)</w:t>
            </w:r>
          </w:p>
        </w:tc>
        <w:tc>
          <w:tcPr>
            <w:tcW w:w="220" w:type="dxa"/>
            <w:vAlign w:val="bottom"/>
          </w:tcPr>
          <w:p>
            <w:pPr>
              <w:spacing w:after="0"/>
              <w:rPr>
                <w:sz w:val="11"/>
                <w:szCs w:val="11"/>
                <w:color w:val="auto"/>
              </w:rPr>
            </w:pPr>
          </w:p>
        </w:tc>
        <w:tc>
          <w:tcPr>
            <w:tcW w:w="12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(21,216)</w:t>
            </w:r>
          </w:p>
        </w:tc>
        <w:tc>
          <w:tcPr>
            <w:tcW w:w="0" w:type="dxa"/>
            <w:vAlign w:val="bottom"/>
          </w:tcPr>
          <w:p>
            <w:pPr>
              <w:spacing w:after="0"/>
              <w:rPr>
                <w:sz w:val="1"/>
                <w:szCs w:val="1"/>
                <w:color w:val="auto"/>
              </w:rPr>
            </w:pPr>
          </w:p>
        </w:tc>
      </w:tr>
      <w:tr>
        <w:trPr>
          <w:trHeight w:val="192"/>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Shares issued pursuant to stock-based compensation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60" w:type="dxa"/>
            <w:vAlign w:val="bottom"/>
            <w:shd w:val="clear" w:color="auto" w:fill="CFF0FC"/>
          </w:tcPr>
          <w:p>
            <w:pPr>
              <w:ind w:left="180"/>
              <w:spacing w:after="0" w:line="144" w:lineRule="exact"/>
              <w:rPr>
                <w:sz w:val="20"/>
                <w:szCs w:val="20"/>
                <w:color w:val="auto"/>
              </w:rPr>
            </w:pPr>
            <w:r>
              <w:rPr>
                <w:rFonts w:ascii="Times New Roman" w:cs="Times New Roman" w:eastAsia="Times New Roman" w:hAnsi="Times New Roman"/>
                <w:sz w:val="13"/>
                <w:szCs w:val="13"/>
                <w:color w:val="auto"/>
              </w:rPr>
              <w:t>Cash dividends declared on common stock ($0.80 per</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150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(111,640)</w:t>
            </w: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(111,640)</w:t>
            </w:r>
          </w:p>
        </w:tc>
        <w:tc>
          <w:tcPr>
            <w:tcW w:w="0" w:type="dxa"/>
            <w:vAlign w:val="bottom"/>
          </w:tcPr>
          <w:p>
            <w:pPr>
              <w:spacing w:after="0"/>
              <w:rPr>
                <w:sz w:val="1"/>
                <w:szCs w:val="1"/>
                <w:color w:val="auto"/>
              </w:rPr>
            </w:pPr>
          </w:p>
        </w:tc>
      </w:tr>
      <w:tr>
        <w:trPr>
          <w:trHeight w:val="156"/>
        </w:trPr>
        <w:tc>
          <w:tcPr>
            <w:tcW w:w="3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earnings</w:t>
            </w:r>
          </w:p>
        </w:tc>
        <w:tc>
          <w:tcPr>
            <w:tcW w:w="15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221,435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50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31,227</w:t>
            </w: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31,227</w:t>
            </w:r>
          </w:p>
        </w:tc>
        <w:tc>
          <w:tcPr>
            <w:tcW w:w="0" w:type="dxa"/>
            <w:vAlign w:val="bottom"/>
          </w:tcPr>
          <w:p>
            <w:pPr>
              <w:spacing w:after="0"/>
              <w:rPr>
                <w:sz w:val="1"/>
                <w:szCs w:val="1"/>
                <w:color w:val="auto"/>
              </w:rPr>
            </w:pPr>
          </w:p>
        </w:tc>
      </w:tr>
      <w:tr>
        <w:trPr>
          <w:trHeight w:val="156"/>
        </w:trPr>
        <w:tc>
          <w:tcPr>
            <w:tcW w:w="34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2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139,345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1,288,899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1,112,642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 xml:space="preserve">(323,569 </w:t>
            </w:r>
            <w:r>
              <w:rPr>
                <w:rFonts w:ascii="Times New Roman" w:cs="Times New Roman" w:eastAsia="Times New Roman" w:hAnsi="Times New Roman"/>
                <w:sz w:val="15"/>
                <w:szCs w:val="15"/>
                <w:color w:val="auto"/>
                <w:vertAlign w:val="subscript"/>
              </w:rPr>
              <w:t>)</w:t>
            </w:r>
          </w:p>
        </w:tc>
        <w:tc>
          <w:tcPr>
            <w:tcW w:w="260" w:type="dxa"/>
            <w:vAlign w:val="bottom"/>
          </w:tcPr>
          <w:p>
            <w:pPr>
              <w:spacing w:after="0"/>
              <w:rPr>
                <w:sz w:val="13"/>
                <w:szCs w:val="13"/>
                <w:color w:val="auto"/>
              </w:rPr>
            </w:pP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2,077,972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460" w:type="dxa"/>
            <w:vAlign w:val="bottom"/>
            <w:shd w:val="clear" w:color="auto" w:fill="CFF0FC"/>
          </w:tcPr>
          <w:p>
            <w:pPr>
              <w:ind w:left="180"/>
              <w:spacing w:after="0" w:line="133" w:lineRule="exact"/>
              <w:rPr>
                <w:sz w:val="20"/>
                <w:szCs w:val="20"/>
                <w:color w:val="auto"/>
              </w:rPr>
            </w:pPr>
            <w:r>
              <w:rPr>
                <w:rFonts w:ascii="Times New Roman" w:cs="Times New Roman" w:eastAsia="Times New Roman" w:hAnsi="Times New Roman"/>
                <w:sz w:val="13"/>
                <w:szCs w:val="13"/>
                <w:color w:val="auto"/>
              </w:rPr>
              <w:t>Repurchase of common stock</w:t>
            </w:r>
          </w:p>
        </w:tc>
        <w:tc>
          <w:tcPr>
            <w:tcW w:w="12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(150</w:t>
            </w:r>
          </w:p>
        </w:tc>
        <w:tc>
          <w:tcPr>
            <w:tcW w:w="240" w:type="dxa"/>
            <w:vAlign w:val="bottom"/>
            <w:shd w:val="clear" w:color="auto" w:fill="CFF0FC"/>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(2,817)</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(2,817)</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Shares issued pursuant to stock-based compensation plan</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10,234</w:t>
            </w:r>
          </w:p>
        </w:tc>
        <w:tc>
          <w:tcPr>
            <w:tcW w:w="220" w:type="dxa"/>
            <w:vAlign w:val="bottom"/>
            <w:shd w:val="clear" w:color="auto" w:fill="CFF0FC"/>
          </w:tcPr>
          <w:p>
            <w:pPr>
              <w:spacing w:after="0"/>
              <w:rPr>
                <w:sz w:val="14"/>
                <w:szCs w:val="14"/>
                <w:color w:val="auto"/>
              </w:rPr>
            </w:pPr>
          </w:p>
        </w:tc>
        <w:tc>
          <w:tcPr>
            <w:tcW w:w="12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10,234</w:t>
            </w:r>
          </w:p>
        </w:tc>
        <w:tc>
          <w:tcPr>
            <w:tcW w:w="0" w:type="dxa"/>
            <w:vAlign w:val="bottom"/>
          </w:tcPr>
          <w:p>
            <w:pPr>
              <w:spacing w:after="0"/>
              <w:rPr>
                <w:sz w:val="1"/>
                <w:szCs w:val="1"/>
                <w:color w:val="auto"/>
              </w:rPr>
            </w:pPr>
          </w:p>
        </w:tc>
      </w:tr>
      <w:tr>
        <w:trPr>
          <w:trHeight w:val="80"/>
        </w:trPr>
        <w:tc>
          <w:tcPr>
            <w:tcW w:w="3460" w:type="dxa"/>
            <w:vAlign w:val="bottom"/>
            <w:shd w:val="clear" w:color="auto" w:fill="CFF0FC"/>
          </w:tcPr>
          <w:p>
            <w:pPr>
              <w:spacing w:after="0"/>
              <w:rPr>
                <w:sz w:val="6"/>
                <w:szCs w:val="6"/>
                <w:color w:val="auto"/>
              </w:rPr>
            </w:pPr>
          </w:p>
        </w:tc>
        <w:tc>
          <w:tcPr>
            <w:tcW w:w="126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40" w:type="dxa"/>
            <w:vAlign w:val="bottom"/>
            <w:gridSpan w:val="2"/>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2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80" w:type="dxa"/>
            <w:vAlign w:val="bottom"/>
            <w:gridSpan w:val="2"/>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Cash dividends declared on common stock ($0.80 per</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15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(111,859)</w:t>
            </w:r>
          </w:p>
        </w:tc>
        <w:tc>
          <w:tcPr>
            <w:tcW w:w="14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(111,859)</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earnings</w:t>
            </w:r>
          </w:p>
        </w:tc>
        <w:tc>
          <w:tcPr>
            <w:tcW w:w="150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200,716</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200,716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5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11,505</w:t>
            </w: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11,505</w:t>
            </w: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12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139,690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1,296,881</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1,201,499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FF0FC"/>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 xml:space="preserve">(312,064 </w:t>
            </w:r>
            <w:r>
              <w:rPr>
                <w:rFonts w:ascii="Times New Roman" w:cs="Times New Roman" w:eastAsia="Times New Roman" w:hAnsi="Times New Roman"/>
                <w:sz w:val="15"/>
                <w:szCs w:val="15"/>
                <w:color w:val="auto"/>
                <w:vertAlign w:val="subscript"/>
              </w:rPr>
              <w:t>)</w:t>
            </w:r>
          </w:p>
        </w:tc>
        <w:tc>
          <w:tcPr>
            <w:tcW w:w="260" w:type="dxa"/>
            <w:vAlign w:val="bottom"/>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2,186,316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 and dividends received</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644,086</w:t>
            </w:r>
          </w:p>
        </w:tc>
        <w:tc>
          <w:tcPr>
            <w:tcW w:w="4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615,078</w:t>
            </w:r>
          </w:p>
        </w:tc>
        <w:tc>
          <w:tcPr>
            <w:tcW w:w="3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512,693</w:t>
            </w: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Service charges and other fees received</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44,364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43,694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43,859</w:t>
            </w:r>
          </w:p>
        </w:tc>
        <w:tc>
          <w:tcPr>
            <w:tcW w:w="80" w:type="dxa"/>
            <w:vAlign w:val="bottom"/>
            <w:shd w:val="clear" w:color="auto" w:fill="CFF0FC"/>
          </w:tcPr>
          <w:p>
            <w:pPr>
              <w:spacing w:after="0"/>
              <w:rPr>
                <w:sz w:val="15"/>
                <w:szCs w:val="15"/>
                <w:color w:val="auto"/>
              </w:rPr>
            </w:pP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(200,412)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(95,505)</w:t>
            </w: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(8,583)</w:t>
            </w: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cash paid to vendors, employees and others</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(184,398)</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(197,739)</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(185,300)</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(53,875)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(69,896)</w:t>
            </w: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(88,938)</w:t>
            </w:r>
          </w:p>
        </w:tc>
      </w:tr>
      <w:tr>
        <w:trPr>
          <w:trHeight w:val="180"/>
        </w:trPr>
        <w:tc>
          <w:tcPr>
            <w:tcW w:w="6240" w:type="dxa"/>
            <w:vAlign w:val="bottom"/>
            <w:shd w:val="clear" w:color="auto" w:fill="CFF0FC"/>
          </w:tcPr>
          <w:p>
            <w:pPr>
              <w:ind w:left="500"/>
              <w:spacing w:after="0" w:line="180"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249,765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295,632</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273,731</w:t>
            </w: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Proceeds of FHLB stock, net</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9,615</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(4,903)</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change in interest-earning balances from depository institutions</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7,736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1,337</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26,446</w:t>
            </w: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Proceeds from repayment of investment securities available-for-sale</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311,630</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374,490</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423,040</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Proceeds from maturity of investment securities available-for-sale</w:t>
            </w: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66,395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90,172</w:t>
            </w: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Proceeds from sales of available-for-sale securities</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439,420</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Purchases of investment securities available-for-sale</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(419,190)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(46,415)</w:t>
            </w: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(1,146,071)</w:t>
            </w: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Proceeds from repayment and maturity of investment securities held-to-maturity</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84,046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75,457</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148,239</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Purchases of investment securities held-to-maturity</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(11,455)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(659,039)</w:t>
            </w: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(increase) decrease in equity investments</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(23,785)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(13,594)</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1,980</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decrease (increase) in loan and lease finance receivables</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352,744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180,332</w:t>
            </w: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(400,217)</w:t>
            </w: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Proceeds from sale of building, net of selling costs</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8,315</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Purchase of premises and equipment</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(5,135)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(4,521)</w:t>
            </w: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(5,359)</w:t>
            </w: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Proceeds from sale-leaseback transactions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44,522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Proceeds from redemption of BOLI policies</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67,768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Purchase of BOLI policies</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(109,000)</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Proceeds from BOLI death benefit</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5,818</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2,505</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11,430</w:t>
            </w: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Cash acquired from acquisition, net of cash paid</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329,001</w:t>
            </w:r>
          </w:p>
        </w:tc>
      </w:tr>
      <w:tr>
        <w:trPr>
          <w:trHeight w:val="180"/>
        </w:trPr>
        <w:tc>
          <w:tcPr>
            <w:tcW w:w="62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852,746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536,276</w:t>
            </w: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(1,176,966)</w:t>
            </w: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increase (decrease) in other deposits</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337,541</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(1,504,372)</w:t>
            </w: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(1,219,107)</w:t>
            </w: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increase (decrease) in time deposits</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177,198</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101,769</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(103,661)</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(decrease) increase in other borrowings</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(1,570,000)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1,075,000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992,719</w:t>
            </w: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(decrease) in customer repurchase agreements</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(9,755)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(293,789)</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(76,957)</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Cash dividends on common stock</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(111,830)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(111,686)</w:t>
            </w: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(104,439)</w:t>
            </w: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(2,817)</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(21,216)</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(46,330)</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Repurchase of common stock, ASR Plan</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(70,000)</w:t>
            </w: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1,923</w:t>
            </w:r>
          </w:p>
        </w:tc>
      </w:tr>
      <w:tr>
        <w:trPr>
          <w:trHeight w:val="216"/>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13"/>
                <w:szCs w:val="13"/>
                <w:color w:val="auto"/>
              </w:rPr>
              <w:t>(1,179,098</w:t>
            </w:r>
            <w:r>
              <w:rPr>
                <w:rFonts w:ascii="Times New Roman" w:cs="Times New Roman" w:eastAsia="Times New Roman" w:hAnsi="Times New Roman"/>
                <w:sz w:val="25"/>
                <w:szCs w:val="25"/>
                <w:color w:val="auto"/>
                <w:vertAlign w:val="superscript"/>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13"/>
                <w:szCs w:val="13"/>
                <w:color w:val="auto"/>
              </w:rPr>
              <w:t>(754,084</w:t>
            </w:r>
            <w:r>
              <w:rPr>
                <w:rFonts w:ascii="Times New Roman" w:cs="Times New Roman" w:eastAsia="Times New Roman" w:hAnsi="Times New Roman"/>
                <w:sz w:val="25"/>
                <w:szCs w:val="25"/>
                <w:color w:val="auto"/>
                <w:vertAlign w:val="superscript"/>
              </w:rPr>
              <w:t>)</w:t>
            </w:r>
          </w:p>
        </w:tc>
        <w:tc>
          <w:tcPr>
            <w:tcW w:w="300" w:type="dxa"/>
            <w:vAlign w:val="bottom"/>
          </w:tcPr>
          <w:p>
            <w:pPr>
              <w:spacing w:after="0"/>
              <w:rPr>
                <w:sz w:val="18"/>
                <w:szCs w:val="18"/>
                <w:color w:val="auto"/>
              </w:rPr>
            </w:pPr>
          </w:p>
        </w:tc>
        <w:tc>
          <w:tcPr>
            <w:tcW w:w="102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13"/>
                <w:szCs w:val="13"/>
                <w:color w:val="auto"/>
              </w:rPr>
              <w:t>(625,852</w:t>
            </w:r>
            <w:r>
              <w:rPr>
                <w:rFonts w:ascii="Times New Roman" w:cs="Times New Roman" w:eastAsia="Times New Roman" w:hAnsi="Times New Roman"/>
                <w:sz w:val="25"/>
                <w:szCs w:val="25"/>
                <w:color w:val="auto"/>
                <w:vertAlign w:val="superscript"/>
              </w:rPr>
              <w:t>)</w:t>
            </w: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(76,587)</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77,824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(1,529,087)</w:t>
            </w: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281,285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203,461</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1,732,548</w:t>
            </w:r>
          </w:p>
        </w:tc>
        <w:tc>
          <w:tcPr>
            <w:tcW w:w="80" w:type="dxa"/>
            <w:vAlign w:val="bottom"/>
          </w:tcPr>
          <w:p>
            <w:pPr>
              <w:spacing w:after="0"/>
              <w:rPr>
                <w:sz w:val="15"/>
                <w:szCs w:val="15"/>
                <w:color w:val="auto"/>
              </w:rPr>
            </w:pPr>
          </w:p>
        </w:tc>
      </w:tr>
      <w:tr>
        <w:trPr>
          <w:trHeight w:val="20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204,698</w:t>
            </w:r>
          </w:p>
        </w:tc>
        <w:tc>
          <w:tcPr>
            <w:tcW w:w="4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281,285</w:t>
            </w:r>
          </w:p>
        </w:tc>
        <w:tc>
          <w:tcPr>
            <w:tcW w:w="3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203,461</w:t>
            </w: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(Continued)</w:t>
      </w: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240" w:type="dxa"/>
            <w:vAlign w:val="bottom"/>
            <w:shd w:val="clear" w:color="auto" w:fill="CFF0FC"/>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Reconciliation of Net Earnings to Net Cash Provided by Operating</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200,716</w:t>
            </w:r>
          </w:p>
        </w:tc>
        <w:tc>
          <w:tcPr>
            <w:tcW w:w="4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221,435</w:t>
            </w:r>
          </w:p>
        </w:tc>
        <w:tc>
          <w:tcPr>
            <w:tcW w:w="3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235,425</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Gain on sale of building, net</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(2,717)</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Write-down of BOLI</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(4,465)</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2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Increase in BOLI</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(12,420)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(8,286)</w:t>
            </w: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(5,356)</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Net amortization of premiums and discounts on investment securities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16,832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18,049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26,565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Loss on sale available-for-sale securities</w:t>
            </w: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28,317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Accretion of discount for acquired loans, net</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(3,260)</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(3,886)</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(7,904)</w:t>
            </w:r>
          </w:p>
        </w:tc>
        <w:tc>
          <w:tcPr>
            <w:tcW w:w="0" w:type="dxa"/>
            <w:vAlign w:val="bottom"/>
          </w:tcPr>
          <w:p>
            <w:pPr>
              <w:spacing w:after="0"/>
              <w:rPr>
                <w:sz w:val="1"/>
                <w:szCs w:val="1"/>
                <w:color w:val="auto"/>
              </w:rPr>
            </w:pPr>
          </w:p>
        </w:tc>
      </w:tr>
      <w:tr>
        <w:trPr>
          <w:trHeight w:val="180"/>
        </w:trPr>
        <w:tc>
          <w:tcPr>
            <w:tcW w:w="62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(Recapture of) provision for credit losses</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2,000</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(Recapture of) provision for unfunded loan commitments</w:t>
            </w:r>
          </w:p>
        </w:tc>
        <w:tc>
          <w:tcPr>
            <w:tcW w:w="28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(1,250)</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(500)</w:t>
            </w:r>
          </w:p>
        </w:tc>
        <w:tc>
          <w:tcPr>
            <w:tcW w:w="30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5"/>
        </w:trPr>
        <w:tc>
          <w:tcPr>
            <w:tcW w:w="624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060" w:type="dxa"/>
            <w:vAlign w:val="bottom"/>
            <w:gridSpan w:val="2"/>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200" w:type="dxa"/>
            <w:vAlign w:val="bottom"/>
            <w:gridSpan w:val="2"/>
            <w:vMerge w:val="continue"/>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020" w:type="dxa"/>
            <w:vAlign w:val="bottom"/>
            <w:gridSpan w:val="2"/>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Valuation allowance on other real estate owned</w:t>
            </w: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Gain on sale leaseback transactions</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(25,900)</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2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9,439</w:t>
            </w:r>
          </w:p>
        </w:tc>
        <w:tc>
          <w:tcPr>
            <w:tcW w:w="30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7,901</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Depreciation and amortization, net</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15,368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18,169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13,661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Change in other assets and liabilities</w:t>
            </w: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24,100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43,677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(4,444)</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500"/>
              <w:spacing w:after="0" w:line="180" w:lineRule="exact"/>
              <w:rPr>
                <w:sz w:val="20"/>
                <w:szCs w:val="20"/>
                <w:color w:val="auto"/>
              </w:rPr>
            </w:pPr>
            <w:r>
              <w:rPr>
                <w:rFonts w:ascii="Times New Roman" w:cs="Times New Roman" w:eastAsia="Times New Roman" w:hAnsi="Times New Roman"/>
                <w:sz w:val="16"/>
                <w:szCs w:val="16"/>
                <w:color w:val="auto"/>
              </w:rPr>
              <w:t>Total adjustments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49,049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74,197</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38,306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249,765</w:t>
            </w:r>
          </w:p>
        </w:tc>
        <w:tc>
          <w:tcPr>
            <w:tcW w:w="4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295,632</w:t>
            </w:r>
          </w:p>
        </w:tc>
        <w:tc>
          <w:tcPr>
            <w:tcW w:w="3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273,731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Supplemental Disclosure of Non-cash Investing Activities</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Securities matured and not settled</w:t>
            </w:r>
          </w:p>
        </w:tc>
        <w:tc>
          <w:tcPr>
            <w:tcW w:w="28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40" w:type="dxa"/>
            <w:vAlign w:val="bottom"/>
          </w:tcPr>
          <w:p>
            <w:pPr>
              <w:spacing w:after="0"/>
              <w:rPr>
                <w:sz w:val="17"/>
                <w:szCs w:val="17"/>
                <w:color w:val="auto"/>
              </w:rPr>
            </w:pPr>
          </w:p>
        </w:tc>
        <w:tc>
          <w:tcPr>
            <w:tcW w:w="30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1"/>
        </w:trPr>
        <w:tc>
          <w:tcPr>
            <w:tcW w:w="62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Transfer of loans to other real estate owned</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19,331</w:t>
            </w:r>
          </w:p>
        </w:tc>
        <w:tc>
          <w:tcPr>
            <w:tcW w:w="10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Issuance of common stock for acquisition</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197,069</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26,908</w:t>
            </w:r>
          </w:p>
        </w:tc>
        <w:tc>
          <w:tcPr>
            <w:tcW w:w="10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YEARS ENDED DECEMBER 31,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BUSINESS</w:t>
      </w:r>
    </w:p>
    <w:p>
      <w:pPr>
        <w:spacing w:after="0" w:line="154" w:lineRule="exact"/>
        <w:rPr>
          <w:sz w:val="20"/>
          <w:szCs w:val="20"/>
          <w:color w:val="auto"/>
        </w:rPr>
      </w:pPr>
    </w:p>
    <w:p>
      <w:pPr>
        <w:ind w:left="20" w:right="100" w:firstLine="588"/>
        <w:spacing w:after="0" w:line="247" w:lineRule="auto"/>
        <w:rPr>
          <w:sz w:val="20"/>
          <w:szCs w:val="20"/>
          <w:color w:val="auto"/>
        </w:rPr>
      </w:pPr>
      <w:r>
        <w:rPr>
          <w:rFonts w:ascii="Times New Roman" w:cs="Times New Roman" w:eastAsia="Times New Roman" w:hAnsi="Times New Roman"/>
          <w:sz w:val="16"/>
          <w:szCs w:val="16"/>
          <w:color w:val="auto"/>
        </w:rPr>
        <w:t>The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28" w:lineRule="exact"/>
        <w:rPr>
          <w:sz w:val="20"/>
          <w:szCs w:val="20"/>
          <w:color w:val="auto"/>
        </w:rPr>
      </w:pPr>
    </w:p>
    <w:p>
      <w:pPr>
        <w:ind w:left="20" w:firstLine="588"/>
        <w:spacing w:after="0" w:line="243" w:lineRule="auto"/>
        <w:rPr>
          <w:sz w:val="20"/>
          <w:szCs w:val="20"/>
          <w:color w:val="auto"/>
        </w:rPr>
      </w:pPr>
      <w:r>
        <w:rPr>
          <w:rFonts w:ascii="Times New Roman" w:cs="Times New Roman" w:eastAsia="Times New Roman" w:hAnsi="Times New Roman"/>
          <w:sz w:val="16"/>
          <w:szCs w:val="16"/>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throughout California. As of December 31, 2024, the Bank operated 62 banking centers, and three trust office locations. The Company is headquartered in the city of Ontario, California.</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w:t>
      </w:r>
    </w:p>
    <w:p>
      <w:pPr>
        <w:spacing w:after="0" w:line="154" w:lineRule="exact"/>
        <w:rPr>
          <w:sz w:val="20"/>
          <w:szCs w:val="20"/>
          <w:color w:val="auto"/>
        </w:rPr>
      </w:pPr>
    </w:p>
    <w:p>
      <w:pPr>
        <w:ind w:left="20" w:right="220" w:firstLine="588"/>
        <w:spacing w:after="0" w:line="247" w:lineRule="auto"/>
        <w:rPr>
          <w:sz w:val="20"/>
          <w:szCs w:val="20"/>
          <w:color w:val="auto"/>
        </w:rPr>
      </w:pPr>
      <w:r>
        <w:rPr>
          <w:rFonts w:ascii="Times New Roman" w:cs="Times New Roman" w:eastAsia="Times New Roman" w:hAnsi="Times New Roman"/>
          <w:sz w:val="16"/>
          <w:szCs w:val="16"/>
          <w:color w:val="auto"/>
        </w:rPr>
        <w:t>The accompanying consolidated financial statements and notes thereto have been prepared in accordance with the rules and regulations of the Securities and Exchange Commission (“SEC”) for Form 10-K and conform to practices within the banking industry and include all of the information and disclosures required by accounting principles generally accepted in the United States of America (“GAAP”) for financial reporting.</w:t>
      </w:r>
    </w:p>
    <w:p>
      <w:pPr>
        <w:spacing w:after="0" w:line="124" w:lineRule="exact"/>
        <w:rPr>
          <w:sz w:val="20"/>
          <w:szCs w:val="20"/>
          <w:color w:val="auto"/>
        </w:rPr>
      </w:pPr>
    </w:p>
    <w:p>
      <w:pPr>
        <w:ind w:left="20" w:right="10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Reclassification </w:t>
      </w:r>
      <w:r>
        <w:rPr>
          <w:rFonts w:ascii="Times New Roman" w:cs="Times New Roman" w:eastAsia="Times New Roman" w:hAnsi="Times New Roman"/>
          <w:sz w:val="16"/>
          <w:szCs w:val="16"/>
          <w:color w:val="auto"/>
        </w:rPr>
        <w:t>— Certain amounts in the prior periods’ financial statements and related footnote disclosures have been reclassified to conform to the current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presentation with no impact on previously reported net income or stockholders’ equity.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SUMMARY OF SIGNIFICANT ACCOUNTING POLICIES</w:t>
      </w:r>
    </w:p>
    <w:p>
      <w:pPr>
        <w:spacing w:after="0" w:line="150" w:lineRule="exact"/>
        <w:rPr>
          <w:sz w:val="20"/>
          <w:szCs w:val="20"/>
          <w:color w:val="auto"/>
        </w:rPr>
      </w:pPr>
    </w:p>
    <w:p>
      <w:pPr>
        <w:jc w:val="both"/>
        <w:ind w:left="20" w:right="180" w:firstLine="588"/>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in the Preparation of Financial Statements </w:t>
      </w:r>
      <w:r>
        <w:rPr>
          <w:rFonts w:ascii="Times New Roman" w:cs="Times New Roman" w:eastAsia="Times New Roman" w:hAnsi="Times New Roman"/>
          <w:sz w:val="14"/>
          <w:szCs w:val="14"/>
          <w:color w:val="auto"/>
        </w:rPr>
        <w:t>— The preparation of financial statements in conformity with GAAP requires management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Adoption of New Accounting Standards</w:t>
      </w:r>
    </w:p>
    <w:p>
      <w:pPr>
        <w:spacing w:after="0" w:line="154" w:lineRule="exact"/>
        <w:rPr>
          <w:sz w:val="20"/>
          <w:szCs w:val="20"/>
          <w:color w:val="auto"/>
        </w:rPr>
      </w:pPr>
    </w:p>
    <w:p>
      <w:pPr>
        <w:ind w:left="20" w:right="20" w:firstLine="588"/>
        <w:spacing w:after="0" w:line="238" w:lineRule="auto"/>
        <w:rPr>
          <w:sz w:val="20"/>
          <w:szCs w:val="20"/>
          <w:color w:val="auto"/>
        </w:rPr>
      </w:pPr>
      <w:r>
        <w:rPr>
          <w:rFonts w:ascii="Times New Roman" w:cs="Times New Roman" w:eastAsia="Times New Roman" w:hAnsi="Times New Roman"/>
          <w:sz w:val="16"/>
          <w:szCs w:val="16"/>
          <w:color w:val="auto"/>
        </w:rPr>
        <w:t xml:space="preserve">In November 2023, the FASB issued guidance within ASU 2023-07, </w:t>
      </w:r>
      <w:r>
        <w:rPr>
          <w:rFonts w:ascii="Times New Roman" w:cs="Times New Roman" w:eastAsia="Times New Roman" w:hAnsi="Times New Roman"/>
          <w:sz w:val="16"/>
          <w:szCs w:val="16"/>
          <w:i w:val="1"/>
          <w:iCs w:val="1"/>
          <w:color w:val="auto"/>
        </w:rPr>
        <w:t>Segment Reporting (Topic 280)</w:t>
      </w:r>
      <w:r>
        <w:rPr>
          <w:rFonts w:ascii="Times New Roman" w:cs="Times New Roman" w:eastAsia="Times New Roman" w:hAnsi="Times New Roman"/>
          <w:sz w:val="16"/>
          <w:szCs w:val="16"/>
          <w:color w:val="auto"/>
        </w:rPr>
        <w:t xml:space="preserve">. The amendments in this update are intended to improve reportable segment disclosure requirements, primarily through enhanced disclosures related to significant segment expenses. The amendments do not change how an entity identifies its operating segments, aggregates those operating segments, or applies the quantitative thresholds to determine its reportable segments and all existing segment disclosure requirements in ASC 280 and other Codification topics remain unchanged. The amendments in this update are incremental and require public entities that report segment information to disclose, on an annual and interim basis, significant segment expenses that are regularly provided to the chief operating decision maker and included within each reported measure of segment profit or loss as well as other segment items. Annual disclosure of the title and position of the chief operating decision maker and how the reported measures of segment profit or loss are used to assess performance and allocation of resources is also required. The Company adopted this ASU effective with this Form 10 -K. See </w:t>
      </w:r>
      <w:r>
        <w:rPr>
          <w:rFonts w:ascii="Times New Roman" w:cs="Times New Roman" w:eastAsia="Times New Roman" w:hAnsi="Times New Roman"/>
          <w:sz w:val="16"/>
          <w:szCs w:val="16"/>
          <w:i w:val="1"/>
          <w:iCs w:val="1"/>
          <w:color w:val="auto"/>
        </w:rPr>
        <w:t>Business Segments</w:t>
      </w:r>
      <w:r>
        <w:rPr>
          <w:rFonts w:ascii="Times New Roman" w:cs="Times New Roman" w:eastAsia="Times New Roman" w:hAnsi="Times New Roman"/>
          <w:sz w:val="16"/>
          <w:szCs w:val="16"/>
          <w:color w:val="auto"/>
        </w:rPr>
        <w:t xml:space="preserve"> below. As the amendments in this update relate entirely to disclosure requirements, adoption of this guidance did not have an impact on the Company's financial position or results of operations.</w:t>
      </w:r>
    </w:p>
    <w:p>
      <w:pPr>
        <w:spacing w:after="0" w:line="132" w:lineRule="exact"/>
        <w:rPr>
          <w:sz w:val="20"/>
          <w:szCs w:val="20"/>
          <w:color w:val="auto"/>
        </w:rPr>
      </w:pPr>
    </w:p>
    <w:p>
      <w:pPr>
        <w:ind w:left="20" w:right="120" w:firstLine="58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 Segments </w:t>
      </w:r>
      <w:r>
        <w:rPr>
          <w:rFonts w:ascii="Times New Roman" w:cs="Times New Roman" w:eastAsia="Times New Roman" w:hAnsi="Times New Roman"/>
          <w:sz w:val="16"/>
          <w:szCs w:val="16"/>
          <w:color w:val="auto"/>
        </w:rPr>
        <w:t>— We regularly assess our strategic plans, operations, reporting structures and financial information provided to the Chief Executive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Officer, our chief operating decision maker (“CODM”), to identify our reportable segments. At December 31, 2024 and since September 30, 2018, we have operated as one reportable segment. Changes to our reportable segments are expected to be infrequent.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19" w:right="660" w:bottom="1440" w:gutter="0" w:footer="0" w:header="0"/>
        </w:sectPr>
      </w:pPr>
    </w:p>
    <w:bookmarkStart w:id="95" w:name="page96"/>
    <w:bookmarkEnd w:id="95"/>
    <w:p>
      <w:pPr>
        <w:spacing w:after="0" w:line="137" w:lineRule="exact"/>
        <w:rPr>
          <w:sz w:val="20"/>
          <w:szCs w:val="20"/>
          <w:color w:val="auto"/>
        </w:rPr>
      </w:pPr>
    </w:p>
    <w:p>
      <w:pPr>
        <w:ind w:right="200" w:firstLine="588"/>
        <w:spacing w:after="0" w:line="239" w:lineRule="auto"/>
        <w:rPr>
          <w:sz w:val="20"/>
          <w:szCs w:val="20"/>
          <w:color w:val="auto"/>
        </w:rPr>
      </w:pPr>
      <w:r>
        <w:rPr>
          <w:rFonts w:ascii="Times New Roman" w:cs="Times New Roman" w:eastAsia="Times New Roman" w:hAnsi="Times New Roman"/>
          <w:sz w:val="16"/>
          <w:szCs w:val="16"/>
          <w:color w:val="auto"/>
        </w:rPr>
        <w:t>The factors considered in making this determination included the nature of products and services offered, geographic regions in which we operate, the applicable regulatory environment, and the materiality of discrete financial information reviewed by our CODM. Through our network of banking centers, we provide relationship -based banking products, services and solutions for small to mid-sized companies, real estate investors, non-profit organizations, professionals and other individuals. Our products include loans for commercial businesses, commercial real estate, multi-family, construction, land, dairy &amp; livestock and agribusiness, consumer and government- guaranteed small business loans. We also provide business deposit products and treasury cash management services, as well as deposit products to the owners and employees of the businesses we serve. Our operations are throughout the state of California.</w:t>
      </w:r>
    </w:p>
    <w:p>
      <w:pPr>
        <w:spacing w:after="0" w:line="135" w:lineRule="exact"/>
        <w:rPr>
          <w:sz w:val="20"/>
          <w:szCs w:val="20"/>
          <w:color w:val="auto"/>
        </w:rPr>
      </w:pPr>
    </w:p>
    <w:p>
      <w:pPr>
        <w:ind w:right="40" w:firstLine="588"/>
        <w:spacing w:after="0"/>
        <w:rPr>
          <w:sz w:val="20"/>
          <w:szCs w:val="20"/>
          <w:color w:val="auto"/>
        </w:rPr>
      </w:pPr>
      <w:r>
        <w:rPr>
          <w:rFonts w:ascii="Times New Roman" w:cs="Times New Roman" w:eastAsia="Times New Roman" w:hAnsi="Times New Roman"/>
          <w:sz w:val="16"/>
          <w:szCs w:val="16"/>
          <w:color w:val="auto"/>
        </w:rPr>
        <w:t xml:space="preserve">The Company has determined that all of its banking divisions meet the aggregation criteria of ASU 2023-07,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as its current operating model is structured whereby banking divisions serve a similar base of primarily commercial clients utilizing a company -wide offering of similar products and services managed through similar processes and platforms, and therefore operates one line of business that is collectively reviewed by the CODM. The CODM regularly assesses performance of the aggregated single reporting segment and decides how to allocate resources based on net income calculated on the same basis as net income reported in the Company's consolidated statements of earnings and comprehensive income. The CODM is also regularly provided with expense information at a level consistent with that disclosed in the Company's consolidated statements of earnings and comprehensive income.</w:t>
      </w:r>
    </w:p>
    <w:p>
      <w:pPr>
        <w:spacing w:after="0" w:line="130" w:lineRule="exact"/>
        <w:rPr>
          <w:sz w:val="20"/>
          <w:szCs w:val="20"/>
          <w:color w:val="auto"/>
        </w:rPr>
      </w:pPr>
    </w:p>
    <w:p>
      <w:pPr>
        <w:ind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and cash equivalents </w:t>
      </w:r>
      <w:r>
        <w:rPr>
          <w:rFonts w:ascii="Times New Roman" w:cs="Times New Roman" w:eastAsia="Times New Roman" w:hAnsi="Times New Roman"/>
          <w:sz w:val="16"/>
          <w:szCs w:val="16"/>
          <w:color w:val="auto"/>
        </w:rPr>
        <w:t>— Cash on hand, cash items in the process of collection, and amounts due from correspondent banks, the Federal Reserve Bank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interest-bearing balances due from depository institutions with initial terms of ninety days or less, are included in Cash and cash equivalents.</w:t>
      </w:r>
    </w:p>
    <w:p>
      <w:pPr>
        <w:spacing w:after="0" w:line="111" w:lineRule="exact"/>
        <w:rPr>
          <w:sz w:val="20"/>
          <w:szCs w:val="20"/>
          <w:color w:val="auto"/>
        </w:rPr>
      </w:pPr>
    </w:p>
    <w:p>
      <w:pPr>
        <w:ind w:right="40" w:firstLine="600"/>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Investment Securities </w:t>
      </w:r>
      <w:r>
        <w:rPr>
          <w:rFonts w:ascii="Times New Roman" w:cs="Times New Roman" w:eastAsia="Times New Roman" w:hAnsi="Times New Roman"/>
          <w:sz w:val="16"/>
          <w:szCs w:val="16"/>
          <w:color w:val="auto"/>
        </w:rPr>
        <w:t>— The Company classifies as HTM those debt securities that the Company has the positive intent and ability to hold to maturity.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Securities classified as trading are those securities that are bought and held principally for the purpose of selling them in the near term. All other debt and equity securities are classified as AFS. Securities held-to-maturity are accounted for at cost and adjusted for amortization of premiums and accretion of discounts. Trading securities are accounted for at fair value with the unrealized gains and losses being included in current earnings. Available-for-sale securities are accounted for at fair value, with the net unrealized gains and losses, net of income tax effects, presented as a separate component of stockholders’ equity. Realized gains and losses on sales of securities are recognized in earnings at the time of sale and are determined on a specific-identification basis. Purchase premiums and discounts are recognized in interest income using the effective-yield method over the estimated terms of the securities. For mortgage-backed securities (“MBS”), the amortization or accretion is based on estimated average lives of the securities. The lives of these securities can fluctuate based on the amount of prepayments received on the underlying collateral of the securities. The Company’s investment in the Federal Home Loan Bank of San Francisco (“FHLB”) stock is carried at cost and periodically assessed for impairment. Both cash and stock dividends received on FHLB stock are reported as income.</w:t>
      </w:r>
    </w:p>
    <w:p>
      <w:pPr>
        <w:spacing w:after="0" w:line="134" w:lineRule="exact"/>
        <w:rPr>
          <w:sz w:val="20"/>
          <w:szCs w:val="20"/>
          <w:color w:val="auto"/>
        </w:rPr>
      </w:pPr>
    </w:p>
    <w:p>
      <w:pPr>
        <w:ind w:right="60" w:firstLine="588"/>
        <w:spacing w:after="0" w:line="281" w:lineRule="auto"/>
        <w:rPr>
          <w:sz w:val="20"/>
          <w:szCs w:val="20"/>
          <w:color w:val="auto"/>
        </w:rPr>
      </w:pPr>
      <w:r>
        <w:rPr>
          <w:rFonts w:ascii="Times New Roman" w:cs="Times New Roman" w:eastAsia="Times New Roman" w:hAnsi="Times New Roman"/>
          <w:sz w:val="14"/>
          <w:szCs w:val="14"/>
          <w:color w:val="auto"/>
        </w:rPr>
        <w:t>In accordance with ASU No. 2016-13, “</w:t>
      </w:r>
      <w:r>
        <w:rPr>
          <w:rFonts w:ascii="Times New Roman" w:cs="Times New Roman" w:eastAsia="Times New Roman" w:hAnsi="Times New Roman"/>
          <w:sz w:val="14"/>
          <w:szCs w:val="14"/>
          <w:i w:val="1"/>
          <w:iCs w:val="1"/>
          <w:color w:val="auto"/>
        </w:rPr>
        <w:t>Financial Instruments — Credit Losses (Topic 326): Measurement of Credit Losses on Financial Instruments”</w:t>
      </w:r>
      <w:r>
        <w:rPr>
          <w:rFonts w:ascii="Times New Roman" w:cs="Times New Roman" w:eastAsia="Times New Roman" w:hAnsi="Times New Roman"/>
          <w:sz w:val="14"/>
          <w:szCs w:val="14"/>
          <w:color w:val="auto"/>
        </w:rPr>
        <w:t>, AFS debt securities are measured at fair value and are subject to impairment testing. A security is impaired if the fair value of the security is less than its amortized cost basis. When an available-for-sale debt security is considered impaired, the Company must determine if the decline in fair value has resulted from a credit-related loss or other factors and then, (1) recognize allowance for credit losses by a charge to earnings for the credit-related component (if any) of the decline in fair value, and (2) recognize in other comprehensive income (loss) non-credit related components of the fair value decline (if any). If the amount of the amortized cost basis expected to be recovered increases in a future period, the valuation allowance would be reduced, but not more than the amount of the current existing allowance for that security.</w:t>
      </w:r>
    </w:p>
    <w:p>
      <w:pPr>
        <w:spacing w:after="0" w:line="103" w:lineRule="exact"/>
        <w:rPr>
          <w:sz w:val="20"/>
          <w:szCs w:val="20"/>
          <w:color w:val="auto"/>
        </w:rPr>
      </w:pPr>
    </w:p>
    <w:p>
      <w:pPr>
        <w:ind w:right="140" w:firstLine="58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and Lease Finance Receivables </w:t>
      </w:r>
      <w:r>
        <w:rPr>
          <w:rFonts w:ascii="Times New Roman" w:cs="Times New Roman" w:eastAsia="Times New Roman" w:hAnsi="Times New Roman"/>
          <w:sz w:val="16"/>
          <w:szCs w:val="16"/>
          <w:color w:val="auto"/>
        </w:rPr>
        <w:t>— Loans and lease finance receivables that management has the intent and ability to hold for the foreseeable future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until maturity or payoff are reported at the principal balance outstanding, net of nonaccrual interest paid, deferred loan origination fees and costs, and purchase price discounts and premiums (amortized cost basis). Refer to Note 5 — </w:t>
      </w:r>
      <w:r>
        <w:rPr>
          <w:rFonts w:ascii="Times New Roman" w:cs="Times New Roman" w:eastAsia="Times New Roman" w:hAnsi="Times New Roman"/>
          <w:sz w:val="16"/>
          <w:szCs w:val="16"/>
          <w:i w:val="1"/>
          <w:iCs w:val="1"/>
          <w:color w:val="auto"/>
        </w:rPr>
        <w:t>Loans and Lease Finance Receivables and Allowance for Credit Losses</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ind w:right="100" w:firstLine="588"/>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commitments to extend credit to its customers. To the extent that such commitments are unfunded, the related unfunded amounts are not reflected in the accompanying consolidated financial statements.</w:t>
      </w:r>
    </w:p>
    <w:p>
      <w:pPr>
        <w:spacing w:after="0" w:line="119" w:lineRule="exact"/>
        <w:rPr>
          <w:sz w:val="20"/>
          <w:szCs w:val="20"/>
          <w:color w:val="auto"/>
        </w:rPr>
      </w:pPr>
    </w:p>
    <w:p>
      <w:pPr>
        <w:jc w:val="both"/>
        <w:ind w:right="160" w:firstLine="588"/>
        <w:spacing w:after="0" w:line="243" w:lineRule="auto"/>
        <w:rPr>
          <w:sz w:val="20"/>
          <w:szCs w:val="20"/>
          <w:color w:val="auto"/>
        </w:rPr>
      </w:pPr>
      <w:r>
        <w:rPr>
          <w:rFonts w:ascii="Times New Roman" w:cs="Times New Roman" w:eastAsia="Times New Roman" w:hAnsi="Times New Roman"/>
          <w:sz w:val="16"/>
          <w:szCs w:val="16"/>
          <w:color w:val="auto"/>
        </w:rPr>
        <w:t>The Company receives collateral to support loans, lease finance receivables, and commitments to extend credit for which collateral is deemed necessary. The most significant categories for which collateral is deemed necessary are real estate, principally commercial and industrial income-producing properties, Small Business Administration (“SBA”) loans, real estate mortgages, assets utilized in dairy &amp; livestock and agribusiness, and various personal property assets utilized in commercial and industrial business governed by the Uniform Commercial Code.</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96" w:name="page97"/>
    <w:bookmarkEnd w:id="96"/>
    <w:p>
      <w:pPr>
        <w:spacing w:after="0" w:line="137" w:lineRule="exact"/>
        <w:rPr>
          <w:sz w:val="20"/>
          <w:szCs w:val="20"/>
          <w:color w:val="auto"/>
        </w:rPr>
      </w:pPr>
    </w:p>
    <w:p>
      <w:pPr>
        <w:ind w:right="20" w:firstLine="600"/>
        <w:spacing w:after="0" w:line="259" w:lineRule="auto"/>
        <w:rPr>
          <w:sz w:val="20"/>
          <w:szCs w:val="20"/>
          <w:color w:val="auto"/>
        </w:rPr>
      </w:pPr>
      <w:r>
        <w:rPr>
          <w:rFonts w:ascii="Times New Roman" w:cs="Times New Roman" w:eastAsia="Times New Roman" w:hAnsi="Times New Roman"/>
          <w:sz w:val="16"/>
          <w:szCs w:val="16"/>
          <w:color w:val="auto"/>
        </w:rPr>
        <w:t>Nonrefundable fees and direct costs associated with the origination or purchase of loans are deferred and netted against outstanding loan balances. The deferred net loan fees and costs and purchase price discounts are recognized in interest income over the loan term using the effective-yield method.</w:t>
      </w:r>
    </w:p>
    <w:p>
      <w:pPr>
        <w:spacing w:after="0" w:line="115"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Nonaccrual, Past Due, Charge-Offs and Recoveries </w:t>
      </w:r>
      <w:r>
        <w:rPr>
          <w:rFonts w:ascii="Times New Roman" w:cs="Times New Roman" w:eastAsia="Times New Roman" w:hAnsi="Times New Roman"/>
          <w:sz w:val="16"/>
          <w:szCs w:val="16"/>
          <w:color w:val="auto"/>
        </w:rPr>
        <w:t>— Interest on loans and lease finance receivables, is credited to income based on the principal amounts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such loans or receivables outstanding. Loans are considered delinquent when principal or interest payments are past due 30 days or more and generally remain on accrual status between 30 and 89 days past due. Loans on which the accrual of interest has been discontinued are designated as nonaccrual loans. In general, interest shall not accrue on any loan for which payment in full of principal and interest is not expected, or when the loan becomes 90 days past due, unless the loan is both well secured and in the process of collection. Factors considered in determining that the full collection of principal and interest is no longer probable include cash flow and liquidity of the borrower or property, the financial position of the guarantors and their willingness to support the loan as well as other factors, and this determination involves significant judgment. When an asset is placed on nonaccrual status, previously accrued but unpaid interest is reversed against income. Subsequent collections of cash are applied as reductions to the principal balance unless the loan is returned to accrual status. Interest is not recognized using a cash-basis method. Nonaccrual loans may be restored to accrual status when principal and interest become current and when the borrower is able to demonstrate payment performance for a sustained period, typically for six months. A nonaccrual loan may return to accrual status sooner based on other significant events or mitigating circumstances. Interest income is not recognized on loans and lease finance receivables when collection of interest is deemed by management to be doubtful. Charge-offs are recognized in the period an obligation becomes uncollectible. When determining the amount of the charge-off, management considers all components of the loan’s amortized cost basis, excluding accrued interest receivable (as disclosed herein); however, the non-principal portion of charge-offs have been determined to be immaterial. This policy is consistently applied to all types of loans and lease finance receivables.</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Charge-offs of unsecured consumer loans are recorded when the loan reaches 120 days past due or sooner as circumstances indicate.</w:t>
      </w:r>
    </w:p>
    <w:p>
      <w:pPr>
        <w:spacing w:after="0" w:line="184" w:lineRule="exact"/>
        <w:rPr>
          <w:sz w:val="20"/>
          <w:szCs w:val="20"/>
          <w:color w:val="auto"/>
        </w:rPr>
      </w:pPr>
    </w:p>
    <w:p>
      <w:pPr>
        <w:ind w:right="60" w:firstLine="58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Purchased Loans </w:t>
      </w:r>
      <w:r>
        <w:rPr>
          <w:rFonts w:ascii="Times New Roman" w:cs="Times New Roman" w:eastAsia="Times New Roman" w:hAnsi="Times New Roman"/>
          <w:sz w:val="16"/>
          <w:szCs w:val="16"/>
          <w:color w:val="auto"/>
        </w:rPr>
        <w:t>— All purchased loans are initially measured and recorded at their fair value on the acquisition date. A component of the initial fair value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measurement is an estimate of the credit losses over the life of the purchased loans. Purchased loans are also evaluated to determine if there is a more than insignificant deterioration of credit since origination. ASU 2016-13, requires purchased credit deteriorated (“PCD”) assets to be recorded at their purchase price plus an allowance for credit losses (“ACL”) estimated at the time of acquisition as described below.</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Purchased Loans with Credit Deterioration</w:t>
      </w:r>
    </w:p>
    <w:p>
      <w:pPr>
        <w:spacing w:after="0" w:line="154" w:lineRule="exact"/>
        <w:rPr>
          <w:sz w:val="20"/>
          <w:szCs w:val="20"/>
          <w:color w:val="auto"/>
        </w:rPr>
      </w:pPr>
    </w:p>
    <w:p>
      <w:pPr>
        <w:ind w:firstLine="588"/>
        <w:spacing w:after="0" w:line="241" w:lineRule="auto"/>
        <w:rPr>
          <w:sz w:val="20"/>
          <w:szCs w:val="20"/>
          <w:color w:val="auto"/>
        </w:rPr>
      </w:pPr>
      <w:r>
        <w:rPr>
          <w:rFonts w:ascii="Times New Roman" w:cs="Times New Roman" w:eastAsia="Times New Roman" w:hAnsi="Times New Roman"/>
          <w:sz w:val="16"/>
          <w:szCs w:val="16"/>
          <w:color w:val="auto"/>
        </w:rPr>
        <w:t>ASU 2016-13 requires an allowance for purchased financial assets with more than an insignificant deterioration of credit since origination. The acquisition-date ACL for PCD loans will be allocated to the individual PCD loans (assuming it was originally determined on a collective basis). The sum of the purchase price of the loan (the acquisition date fair value for a loan acquired in a business combination) and the ACL becomes the loan’s new amortized cost basis. The difference between the new amortized cost basis and the unpaid principal balance of the loan represents the non-credit purchase premium or discount that will be amortized or accreted into interest income over the remaining life of the loan.</w:t>
      </w:r>
    </w:p>
    <w:p>
      <w:pPr>
        <w:spacing w:after="0" w:line="133" w:lineRule="exact"/>
        <w:rPr>
          <w:sz w:val="20"/>
          <w:szCs w:val="20"/>
          <w:color w:val="auto"/>
        </w:rPr>
      </w:pPr>
    </w:p>
    <w:p>
      <w:pPr>
        <w:ind w:right="280" w:firstLine="588"/>
        <w:spacing w:after="0" w:line="247" w:lineRule="auto"/>
        <w:rPr>
          <w:sz w:val="20"/>
          <w:szCs w:val="20"/>
          <w:color w:val="auto"/>
        </w:rPr>
      </w:pPr>
      <w:r>
        <w:rPr>
          <w:rFonts w:ascii="Times New Roman" w:cs="Times New Roman" w:eastAsia="Times New Roman" w:hAnsi="Times New Roman"/>
          <w:sz w:val="16"/>
          <w:szCs w:val="16"/>
          <w:color w:val="auto"/>
        </w:rPr>
        <w:t>Subsequent to an acquisition, the ACL for PCD loans will generally follow the same estimation, provision and charge-off process as non-PCD acquired and originated loans. Additionally, the identification of modified loans to borrowers experiencing financial difficulty for acquired loans (PCD and non-PCD) will be consistent with the identification for originated loans.</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Modifications of Loans to Borrowers Experiencing Financial Difficulty</w:t>
      </w:r>
    </w:p>
    <w:p>
      <w:pPr>
        <w:spacing w:after="0" w:line="154" w:lineRule="exact"/>
        <w:rPr>
          <w:sz w:val="20"/>
          <w:szCs w:val="20"/>
          <w:color w:val="auto"/>
        </w:rPr>
      </w:pPr>
    </w:p>
    <w:p>
      <w:pPr>
        <w:jc w:val="both"/>
        <w:ind w:right="140" w:firstLine="588"/>
        <w:spacing w:after="0" w:line="248" w:lineRule="auto"/>
        <w:rPr>
          <w:sz w:val="20"/>
          <w:szCs w:val="20"/>
          <w:color w:val="auto"/>
        </w:rPr>
      </w:pPr>
      <w:r>
        <w:rPr>
          <w:rFonts w:ascii="Times New Roman" w:cs="Times New Roman" w:eastAsia="Times New Roman" w:hAnsi="Times New Roman"/>
          <w:sz w:val="16"/>
          <w:szCs w:val="16"/>
          <w:color w:val="auto"/>
        </w:rPr>
        <w:t xml:space="preserve">The Company adopted Accounting Standards Update 2022-02, </w:t>
      </w:r>
      <w:r>
        <w:rPr>
          <w:rFonts w:ascii="Times New Roman" w:cs="Times New Roman" w:eastAsia="Times New Roman" w:hAnsi="Times New Roman"/>
          <w:sz w:val="16"/>
          <w:szCs w:val="16"/>
          <w:i w:val="1"/>
          <w:iCs w:val="1"/>
          <w:color w:val="auto"/>
        </w:rPr>
        <w:t>Financial Instruments - Credit Losses (Topic 326) Troubled Debt Restructurings and Vintage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(“ASU 2022- 02”) effective January 1, 2023. The amendments in ASU 2022-02 eliminated the recognition and measurement of troubled debt restructurings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enhanced disclosures for loan modifications to borrowers experiencing financial difficulty.</w:t>
      </w:r>
    </w:p>
    <w:p>
      <w:pPr>
        <w:spacing w:after="0" w:line="128" w:lineRule="exact"/>
        <w:rPr>
          <w:sz w:val="20"/>
          <w:szCs w:val="20"/>
          <w:color w:val="auto"/>
        </w:rPr>
      </w:pPr>
    </w:p>
    <w:p>
      <w:pPr>
        <w:ind w:right="80" w:firstLine="588"/>
        <w:spacing w:after="0" w:line="247" w:lineRule="auto"/>
        <w:rPr>
          <w:sz w:val="20"/>
          <w:szCs w:val="20"/>
          <w:color w:val="auto"/>
        </w:rPr>
      </w:pPr>
      <w:r>
        <w:rPr>
          <w:rFonts w:ascii="Times New Roman" w:cs="Times New Roman" w:eastAsia="Times New Roman" w:hAnsi="Times New Roman"/>
          <w:sz w:val="16"/>
          <w:szCs w:val="16"/>
          <w:color w:val="auto"/>
        </w:rPr>
        <w:t>In situations where the Company has determined that the borrower is experiencing financial difficulties and is evaluating whether a concession is insignificant, and therefore does not result in a reportable modification, such analysis is based on an evaluation of both the amount and the timing of the restructured payments, including the following factors:</w:t>
      </w:r>
    </w:p>
    <w:p>
      <w:pPr>
        <w:spacing w:after="0" w:line="68" w:lineRule="exact"/>
        <w:rPr>
          <w:sz w:val="20"/>
          <w:szCs w:val="20"/>
          <w:color w:val="auto"/>
        </w:rPr>
      </w:pPr>
    </w:p>
    <w:p>
      <w:pPr>
        <w:ind w:left="1080" w:right="300"/>
        <w:spacing w:after="0" w:line="259" w:lineRule="auto"/>
        <w:rPr>
          <w:sz w:val="20"/>
          <w:szCs w:val="20"/>
          <w:color w:val="auto"/>
        </w:rPr>
      </w:pPr>
      <w:r>
        <w:rPr>
          <w:rFonts w:ascii="Times New Roman" w:cs="Times New Roman" w:eastAsia="Times New Roman" w:hAnsi="Times New Roman"/>
          <w:sz w:val="16"/>
          <w:szCs w:val="16"/>
          <w:color w:val="auto"/>
        </w:rPr>
        <w:t>1.Whether the amount of the restructured payments subject to delay is insignificant relative to the unpaid principal balance or collateral value of the debt and will result in an insignificant shortfall in the contractual amount due; and</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97" w:name="page98"/>
    <w:bookmarkEnd w:id="97"/>
    <w:p>
      <w:pPr>
        <w:spacing w:after="0" w:line="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2.The delay is insignificant relative to any of the following:</w:t>
      </w:r>
    </w:p>
    <w:p>
      <w:pPr>
        <w:spacing w:after="0" w:line="9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•The frequency of payments due;</w:t>
      </w:r>
    </w:p>
    <w:p>
      <w:pPr>
        <w:spacing w:after="0" w:line="1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•The debt’s original contractual maturity; or</w:t>
      </w:r>
    </w:p>
    <w:p>
      <w:pPr>
        <w:ind w:left="1560"/>
        <w:spacing w:after="0"/>
        <w:rPr>
          <w:sz w:val="20"/>
          <w:szCs w:val="20"/>
          <w:color w:val="auto"/>
        </w:rPr>
      </w:pPr>
      <w:r>
        <w:rPr>
          <w:rFonts w:ascii="Times New Roman" w:cs="Times New Roman" w:eastAsia="Times New Roman" w:hAnsi="Times New Roman"/>
          <w:sz w:val="16"/>
          <w:szCs w:val="16"/>
          <w:color w:val="auto"/>
        </w:rPr>
        <w:t>•The debt’s original expected duration.</w:t>
      </w:r>
    </w:p>
    <w:p>
      <w:pPr>
        <w:spacing w:after="0" w:line="134" w:lineRule="exact"/>
        <w:rPr>
          <w:sz w:val="20"/>
          <w:szCs w:val="20"/>
          <w:color w:val="auto"/>
        </w:rPr>
      </w:pPr>
    </w:p>
    <w:p>
      <w:pPr>
        <w:jc w:val="both"/>
        <w:ind w:right="200" w:firstLine="588"/>
        <w:spacing w:after="0" w:line="289" w:lineRule="auto"/>
        <w:rPr>
          <w:sz w:val="20"/>
          <w:szCs w:val="20"/>
          <w:color w:val="auto"/>
        </w:rPr>
      </w:pPr>
      <w:r>
        <w:rPr>
          <w:rFonts w:ascii="Times New Roman" w:cs="Times New Roman" w:eastAsia="Times New Roman" w:hAnsi="Times New Roman"/>
          <w:sz w:val="14"/>
          <w:szCs w:val="14"/>
          <w:color w:val="auto"/>
        </w:rPr>
        <w:t>All accruing restructured loans are reported as modifications of loans to borrowers experiencing financial difficulties, if (i) the concession(s) are considered significant and (ii) it is determined the borrower is facing financial difficulties. A loan that has been placed on nonaccrual status that is subsequently restructured will remain on nonaccrual status until the borrower is able to demonstrate repayment performance in compliance with the restructured terms for a sustained period of time, generally for a minimum of six months. A restructured loan may return to accrual status sooner based on other significant events or circumstances.</w:t>
      </w:r>
    </w:p>
    <w:p>
      <w:pPr>
        <w:spacing w:after="0" w:line="97"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and Allowance for Credit Losses </w:t>
      </w:r>
      <w:r>
        <w:rPr>
          <w:rFonts w:ascii="Times New Roman" w:cs="Times New Roman" w:eastAsia="Times New Roman" w:hAnsi="Times New Roman"/>
          <w:sz w:val="16"/>
          <w:szCs w:val="16"/>
          <w:color w:val="auto"/>
        </w:rPr>
        <w:t>— In accordance with ASU No. 2016-13, “</w:t>
      </w:r>
      <w:r>
        <w:rPr>
          <w:rFonts w:ascii="Times New Roman" w:cs="Times New Roman" w:eastAsia="Times New Roman" w:hAnsi="Times New Roman"/>
          <w:sz w:val="16"/>
          <w:szCs w:val="16"/>
          <w:i w:val="1"/>
          <w:iCs w:val="1"/>
          <w:color w:val="auto"/>
        </w:rPr>
        <w:t>Financial Instruments — Credit Losses (Topic 326): Measurement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our allowance for credit losses is based upon lifetime loss rate models developed from an estimation framework that uses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historical lifetime loss experiences to derive loss rates at a collective pool level. This "expected loss" model, referred to as the CECL model, applies to: (1) financial assets subject to credit losses and measured at amortized cost, and (2) certain off balance sheet credit exposures. This includes, but is not limited to, loans, HTM securities, loan commitments, and financial guarantees. AFS debt securities are measured at fair value and are subject to impairment testing. This ASU for AFS debt securities requires an allowance for credit impairment instead of a direct write-down, which allows for reversal of credit impairments in future periods based on improvements in credit. When an AFS debt security is considered impaired, and the Company determines that the decline in fair value has resulted from a credit-related loss (as described previously under </w:t>
      </w:r>
      <w:r>
        <w:rPr>
          <w:rFonts w:ascii="Times New Roman" w:cs="Times New Roman" w:eastAsia="Times New Roman" w:hAnsi="Times New Roman"/>
          <w:sz w:val="16"/>
          <w:szCs w:val="16"/>
          <w:i w:val="1"/>
          <w:iCs w:val="1"/>
          <w:color w:val="auto"/>
        </w:rPr>
        <w:t>Investment Securities)</w:t>
      </w:r>
      <w:r>
        <w:rPr>
          <w:rFonts w:ascii="Times New Roman" w:cs="Times New Roman" w:eastAsia="Times New Roman" w:hAnsi="Times New Roman"/>
          <w:sz w:val="16"/>
          <w:szCs w:val="16"/>
          <w:color w:val="auto"/>
        </w:rPr>
        <w:t>, then an allowance for credit losses will be recognized by a charge to earnings for the credit-related component of the decline in fair value. As a result, we will recognize improvements to estimated credit losses immediately in earnings. As a policy election, we exclude the accrued interest receivable balance from the amortized cost basis of financing receivables and HTM securities, as well as AFS securities, and disclose total accrued interest receivable separately on the consolidated balance sheet. If accrued interest is not received, it is reversed against interest income.</w:t>
      </w:r>
    </w:p>
    <w:p>
      <w:pPr>
        <w:spacing w:after="0" w:line="134" w:lineRule="exact"/>
        <w:rPr>
          <w:sz w:val="20"/>
          <w:szCs w:val="20"/>
          <w:color w:val="auto"/>
        </w:rPr>
      </w:pPr>
    </w:p>
    <w:p>
      <w:pPr>
        <w:ind w:right="100" w:firstLine="588"/>
        <w:spacing w:after="0" w:line="289" w:lineRule="auto"/>
        <w:rPr>
          <w:sz w:val="20"/>
          <w:szCs w:val="20"/>
          <w:color w:val="auto"/>
        </w:rPr>
      </w:pPr>
      <w:r>
        <w:rPr>
          <w:rFonts w:ascii="Times New Roman" w:cs="Times New Roman" w:eastAsia="Times New Roman" w:hAnsi="Times New Roman"/>
          <w:sz w:val="14"/>
          <w:szCs w:val="14"/>
          <w:color w:val="auto"/>
        </w:rPr>
        <w:t>We monitor credit quality by evaluating various risk attributes and utilize such information in our evaluation of the appropriateness of the allowance for credit losses. An important element of our approach to credit risk management is our loan risk rating system (Pass, Special Mention, Substandard, Doubtful and Loss). Loan risk ratings are updated as facts related to the loan or borrower become available. In addition, all term loans in excess of $1.0 million are subject to an annual internal credit review process where all factors underlying the loan, borrower and guarantors are subject to review which may result in changes to the loan’s risk rating.</w:t>
      </w:r>
    </w:p>
    <w:p>
      <w:pPr>
        <w:spacing w:after="0" w:line="101" w:lineRule="exact"/>
        <w:rPr>
          <w:sz w:val="20"/>
          <w:szCs w:val="20"/>
          <w:color w:val="auto"/>
        </w:rPr>
      </w:pPr>
    </w:p>
    <w:p>
      <w:pPr>
        <w:ind w:right="220" w:firstLine="588"/>
        <w:spacing w:after="0" w:line="259" w:lineRule="auto"/>
        <w:rPr>
          <w:sz w:val="20"/>
          <w:szCs w:val="20"/>
          <w:color w:val="auto"/>
        </w:rPr>
      </w:pPr>
      <w:r>
        <w:rPr>
          <w:rFonts w:ascii="Times New Roman" w:cs="Times New Roman" w:eastAsia="Times New Roman" w:hAnsi="Times New Roman"/>
          <w:sz w:val="16"/>
          <w:szCs w:val="16"/>
          <w:color w:val="auto"/>
        </w:rPr>
        <w:t xml:space="preserve">Our methodology for assessing the appropriateness of the allowance is conducted on a regular basis and considers the Bank’s overall loan portfolio. Refer to Note 5 — </w:t>
      </w:r>
      <w:r>
        <w:rPr>
          <w:rFonts w:ascii="Times New Roman" w:cs="Times New Roman" w:eastAsia="Times New Roman" w:hAnsi="Times New Roman"/>
          <w:sz w:val="16"/>
          <w:szCs w:val="16"/>
          <w:i w:val="1"/>
          <w:iCs w:val="1"/>
          <w:color w:val="auto"/>
        </w:rPr>
        <w:t>Loans and Lease Finance Receivables and Allowance for Credit Losses, Credit Quality Indicators.</w:t>
      </w:r>
    </w:p>
    <w:p>
      <w:pPr>
        <w:spacing w:after="0" w:line="115" w:lineRule="exact"/>
        <w:rPr>
          <w:sz w:val="20"/>
          <w:szCs w:val="20"/>
          <w:color w:val="auto"/>
        </w:rPr>
      </w:pPr>
    </w:p>
    <w:p>
      <w:pPr>
        <w:ind w:right="20" w:firstLine="58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Reserve for Unfunded Loan Commitments </w:t>
      </w:r>
      <w:r>
        <w:rPr>
          <w:rFonts w:ascii="Times New Roman" w:cs="Times New Roman" w:eastAsia="Times New Roman" w:hAnsi="Times New Roman"/>
          <w:sz w:val="16"/>
          <w:szCs w:val="16"/>
          <w:color w:val="auto"/>
        </w:rPr>
        <w:t>— The reserve for off-balance sheet credit exposure relates to commitments to extend credit, letters of credit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undisbursed funds on lines of credit. The Company evaluates credit risk associated with the off-balance sheet loan commitments in the same manner as it evaluates credit risk associated with the loan and lease portfolio. The reserve is calculated on the expected portion of the commitment to be funded over its life and the life of the commitment loss expectation, utilizing the same three collective pool methodologies described for the Allowance for Credit Losses. We include the reserve for unfunded loan commitments in other liabilities and the related provision in other noninterest expense.</w:t>
      </w:r>
    </w:p>
    <w:p>
      <w:pPr>
        <w:spacing w:after="0" w:line="129" w:lineRule="exact"/>
        <w:rPr>
          <w:sz w:val="20"/>
          <w:szCs w:val="20"/>
          <w:color w:val="auto"/>
        </w:rPr>
      </w:pPr>
    </w:p>
    <w:p>
      <w:pPr>
        <w:jc w:val="both"/>
        <w:ind w:right="120" w:firstLine="58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Real Estate Owned </w:t>
      </w:r>
      <w:r>
        <w:rPr>
          <w:rFonts w:ascii="Times New Roman" w:cs="Times New Roman" w:eastAsia="Times New Roman" w:hAnsi="Times New Roman"/>
          <w:sz w:val="16"/>
          <w:szCs w:val="16"/>
          <w:color w:val="auto"/>
        </w:rPr>
        <w:t>— Other real estate owned (“OREO”) represents real estate acquired through foreclosure in lieu of repayment of commercial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real estate loans and is initially recorded at fair value, less estimated costs to sell (establishing a new cost basis). Loan balances in excess of fair value of the real estate acquired at the date of acquisition are charged against the allowance for credit losses. Any subsequent operating expenses or income, reduction in estimated values, and gains or losses on disposition of such properties are charged to current operations. Gain recognition upon disposition of a property is dependent on the sale having met certain criteria relating to the buyer’s initial investment in the property sold.</w:t>
      </w:r>
    </w:p>
    <w:p>
      <w:pPr>
        <w:spacing w:after="0" w:line="129" w:lineRule="exact"/>
        <w:rPr>
          <w:sz w:val="20"/>
          <w:szCs w:val="20"/>
          <w:color w:val="auto"/>
        </w:rPr>
      </w:pPr>
    </w:p>
    <w:p>
      <w:pPr>
        <w:ind w:right="40" w:firstLine="6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Premises and Equipment </w:t>
      </w:r>
      <w:r>
        <w:rPr>
          <w:rFonts w:ascii="Times New Roman" w:cs="Times New Roman" w:eastAsia="Times New Roman" w:hAnsi="Times New Roman"/>
          <w:sz w:val="16"/>
          <w:szCs w:val="16"/>
          <w:color w:val="auto"/>
        </w:rPr>
        <w:t>— Premises and equipment are stated at cost, less accumulated depreciation, which is provided for in amounts sufficient to relate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cost of depreciable assets to operations over the estimated service lives of the</w:t>
      </w:r>
    </w:p>
    <w:p>
      <w:pPr>
        <w:spacing w:after="0" w:line="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8" w:name="page99"/>
    <w:bookmarkEnd w:id="98"/>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respective asset and are computed on a straight-line basis. The ranges of useful lives of the principal classes of assets are as follows: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Bank premises</w:t>
            </w:r>
          </w:p>
        </w:tc>
        <w:tc>
          <w:tcPr>
            <w:tcW w:w="47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15 - 39 years</w:t>
            </w: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Leasehold improvements</w:t>
            </w:r>
          </w:p>
        </w:tc>
        <w:tc>
          <w:tcPr>
            <w:tcW w:w="4740" w:type="dxa"/>
            <w:vAlign w:val="bottom"/>
            <w:gridSpan w:val="2"/>
          </w:tcPr>
          <w:p>
            <w:pPr>
              <w:ind w:left="480"/>
              <w:spacing w:after="0" w:line="180" w:lineRule="exact"/>
              <w:rPr>
                <w:sz w:val="20"/>
                <w:szCs w:val="20"/>
                <w:color w:val="auto"/>
              </w:rPr>
            </w:pPr>
            <w:r>
              <w:rPr>
                <w:rFonts w:ascii="Times New Roman" w:cs="Times New Roman" w:eastAsia="Times New Roman" w:hAnsi="Times New Roman"/>
                <w:sz w:val="16"/>
                <w:szCs w:val="16"/>
                <w:color w:val="auto"/>
                <w:w w:val="97"/>
              </w:rPr>
              <w:t>Shorter of estimated economic lives of 15 years or term of the lease.</w:t>
            </w: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Computer equipment</w:t>
            </w:r>
          </w:p>
        </w:tc>
        <w:tc>
          <w:tcPr>
            <w:tcW w:w="58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w w:val="99"/>
              </w:rPr>
              <w:t>3</w:t>
            </w:r>
          </w:p>
        </w:tc>
        <w:tc>
          <w:tcPr>
            <w:tcW w:w="4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- 7 years</w:t>
            </w:r>
          </w:p>
        </w:tc>
      </w:tr>
      <w:tr>
        <w:trPr>
          <w:trHeight w:val="203"/>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58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5</w:t>
            </w: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- 10 years</w:t>
            </w:r>
          </w:p>
        </w:tc>
      </w:tr>
    </w:tbl>
    <w:p>
      <w:pPr>
        <w:spacing w:after="0" w:line="157" w:lineRule="exact"/>
        <w:rPr>
          <w:sz w:val="20"/>
          <w:szCs w:val="20"/>
          <w:color w:val="auto"/>
        </w:rPr>
      </w:pPr>
    </w:p>
    <w:p>
      <w:pPr>
        <w:ind w:right="40" w:firstLine="600"/>
        <w:spacing w:after="0" w:line="243" w:lineRule="auto"/>
        <w:rPr>
          <w:sz w:val="20"/>
          <w:szCs w:val="20"/>
          <w:color w:val="auto"/>
        </w:rPr>
      </w:pPr>
      <w:r>
        <w:rPr>
          <w:rFonts w:ascii="Times New Roman" w:cs="Times New Roman" w:eastAsia="Times New Roman" w:hAnsi="Times New Roman"/>
          <w:sz w:val="16"/>
          <w:szCs w:val="16"/>
          <w:color w:val="auto"/>
        </w:rPr>
        <w:t>Long-lived assets are reviewed periodically for impairment when events or changes in circumstances indicate that the carrying amount may not be recoverable. The existence of impairment is based on undiscounted cash flows. To the extent impairment exists, the impairment is calculated as the difference in fair value of assets and their carrying value. The impairment loss, if any, would be recorded in noninterest expense. Net gains or net losses on dispositions of premises and equipment are recorded in noninterest income.</w:t>
      </w:r>
    </w:p>
    <w:p>
      <w:pPr>
        <w:spacing w:after="0" w:line="131" w:lineRule="exact"/>
        <w:rPr>
          <w:sz w:val="20"/>
          <w:szCs w:val="20"/>
          <w:color w:val="auto"/>
        </w:rPr>
      </w:pPr>
    </w:p>
    <w:p>
      <w:pPr>
        <w:ind w:right="220" w:firstLine="600"/>
        <w:spacing w:after="0" w:line="259" w:lineRule="auto"/>
        <w:rPr>
          <w:sz w:val="20"/>
          <w:szCs w:val="20"/>
          <w:color w:val="auto"/>
        </w:rPr>
      </w:pPr>
      <w:r>
        <w:rPr>
          <w:rFonts w:ascii="Times New Roman" w:cs="Times New Roman" w:eastAsia="Times New Roman" w:hAnsi="Times New Roman"/>
          <w:sz w:val="16"/>
          <w:szCs w:val="16"/>
          <w:color w:val="auto"/>
        </w:rPr>
        <w:t>Long-lived assets classified as held-for- sale are measured at the lower of its carrying amount or fair value less cost to sell. Assets-held-for sale include long-lived assets transferred from our “held-and-used” portfolio in the period in which the following criteria are met:</w:t>
      </w:r>
    </w:p>
    <w:p>
      <w:pPr>
        <w:spacing w:after="0" w:line="11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•Management, having the authority to approve the action, commits to a plan to sell the asset;</w:t>
      </w:r>
    </w:p>
    <w:p>
      <w:pPr>
        <w:spacing w:after="0" w:line="14" w:lineRule="exact"/>
        <w:rPr>
          <w:sz w:val="20"/>
          <w:szCs w:val="20"/>
          <w:color w:val="auto"/>
        </w:rPr>
      </w:pPr>
    </w:p>
    <w:p>
      <w:pPr>
        <w:ind w:left="1200" w:right="220"/>
        <w:spacing w:after="0" w:line="234" w:lineRule="auto"/>
        <w:rPr>
          <w:sz w:val="20"/>
          <w:szCs w:val="20"/>
          <w:color w:val="auto"/>
        </w:rPr>
      </w:pPr>
      <w:r>
        <w:rPr>
          <w:rFonts w:ascii="Times New Roman" w:cs="Times New Roman" w:eastAsia="Times New Roman" w:hAnsi="Times New Roman"/>
          <w:sz w:val="16"/>
          <w:szCs w:val="16"/>
          <w:color w:val="auto"/>
        </w:rPr>
        <w:t>•The asset is available for immediate sale, an active program to locate a buyer and other actions required to complete the plan to sell the asset have been initiated;</w:t>
      </w:r>
    </w:p>
    <w:p>
      <w:pPr>
        <w:spacing w:after="0" w:line="1" w:lineRule="exact"/>
        <w:rPr>
          <w:sz w:val="20"/>
          <w:szCs w:val="20"/>
          <w:color w:val="auto"/>
        </w:rPr>
      </w:pPr>
    </w:p>
    <w:p>
      <w:pPr>
        <w:ind w:left="1200" w:right="1080"/>
        <w:spacing w:after="0" w:line="234" w:lineRule="auto"/>
        <w:rPr>
          <w:sz w:val="20"/>
          <w:szCs w:val="20"/>
          <w:color w:val="auto"/>
        </w:rPr>
      </w:pPr>
      <w:r>
        <w:rPr>
          <w:rFonts w:ascii="Times New Roman" w:cs="Times New Roman" w:eastAsia="Times New Roman" w:hAnsi="Times New Roman"/>
          <w:sz w:val="16"/>
          <w:szCs w:val="16"/>
          <w:color w:val="auto"/>
        </w:rPr>
        <w:t>•The sale of the asset is probable, and transfer of the asset is expected to qualify for recognition as a completed sale, within one year; •The asset is being actively marketed for sale at a price that is reasonable in relation to its current fair value; and</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•Actions required to complete the plan indicate that it is unlikely that significant changes to the plan will be made or that the plan will be withdrawn.</w:t>
      </w:r>
    </w:p>
    <w:p>
      <w:pPr>
        <w:spacing w:after="0" w:line="249" w:lineRule="exact"/>
        <w:rPr>
          <w:sz w:val="20"/>
          <w:szCs w:val="20"/>
          <w:color w:val="auto"/>
        </w:rPr>
      </w:pPr>
    </w:p>
    <w:p>
      <w:pPr>
        <w:ind w:right="20" w:firstLine="58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Goodwill and Intangible Assets </w:t>
      </w:r>
      <w:r>
        <w:rPr>
          <w:rFonts w:ascii="Times New Roman" w:cs="Times New Roman" w:eastAsia="Times New Roman" w:hAnsi="Times New Roman"/>
          <w:sz w:val="16"/>
          <w:szCs w:val="16"/>
          <w:color w:val="auto"/>
        </w:rPr>
        <w:t>— Goodwill resulting from business combinations prior to January 1, 2009, represents the excess of the purchase price over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fair value of the net assets of the businesses acquired. Goodwill resulting from business combinations after January 1, 2009, is generally determined as the excess of the fair value of the consideration transferred, plus the fair value of any non- controlling interest in the acquiree, over the fair value of the net assets acquired and liabilities assumed as of the acquisition date. Goodwill and intangible assets acquired in a purchase business combination and determined to have an indefinite useful life are not amortized, but are tested for impairment at least annually, or more frequently, if events and circumstances exist that indicate that a goodwill impairment test should be performed.</w:t>
      </w:r>
    </w:p>
    <w:p>
      <w:pPr>
        <w:spacing w:after="0" w:line="136" w:lineRule="exact"/>
        <w:rPr>
          <w:sz w:val="20"/>
          <w:szCs w:val="20"/>
          <w:color w:val="auto"/>
        </w:rPr>
      </w:pPr>
    </w:p>
    <w:p>
      <w:pPr>
        <w:ind w:firstLine="588"/>
        <w:spacing w:after="0" w:line="259" w:lineRule="auto"/>
        <w:rPr>
          <w:sz w:val="20"/>
          <w:szCs w:val="20"/>
          <w:color w:val="auto"/>
        </w:rPr>
      </w:pPr>
      <w:r>
        <w:rPr>
          <w:rFonts w:ascii="Times New Roman" w:cs="Times New Roman" w:eastAsia="Times New Roman" w:hAnsi="Times New Roman"/>
          <w:sz w:val="16"/>
          <w:szCs w:val="16"/>
          <w:color w:val="auto"/>
        </w:rPr>
        <w:t>Intangible assets with definite useful lives are amortized over their estimated useful lives to their estimated residual values. Goodwill is the only intangible asset with an indefinite life on our balance sheets. Based on the Company’s annual impairment test, there was no recorded impairment as of December 31, 2024.</w:t>
      </w:r>
    </w:p>
    <w:p>
      <w:pPr>
        <w:spacing w:after="0" w:line="119" w:lineRule="exact"/>
        <w:rPr>
          <w:sz w:val="20"/>
          <w:szCs w:val="20"/>
          <w:color w:val="auto"/>
        </w:rPr>
      </w:pPr>
    </w:p>
    <w:p>
      <w:pPr>
        <w:ind w:right="200" w:firstLine="588"/>
        <w:spacing w:after="0" w:line="259" w:lineRule="auto"/>
        <w:rPr>
          <w:sz w:val="20"/>
          <w:szCs w:val="20"/>
          <w:color w:val="auto"/>
        </w:rPr>
      </w:pPr>
      <w:r>
        <w:rPr>
          <w:rFonts w:ascii="Times New Roman" w:cs="Times New Roman" w:eastAsia="Times New Roman" w:hAnsi="Times New Roman"/>
          <w:sz w:val="16"/>
          <w:szCs w:val="16"/>
          <w:color w:val="auto"/>
        </w:rPr>
        <w:t>Other intangible assets consist of core deposit intangible assets arising from business combinations and are amortized using an accelerated method over their estimated useful lives.</w:t>
      </w:r>
    </w:p>
    <w:p>
      <w:pPr>
        <w:spacing w:after="0" w:line="115"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Use of Fair Value </w:t>
      </w:r>
      <w:r>
        <w:rPr>
          <w:rFonts w:ascii="Times New Roman" w:cs="Times New Roman" w:eastAsia="Times New Roman" w:hAnsi="Times New Roman"/>
          <w:sz w:val="16"/>
          <w:szCs w:val="16"/>
          <w:color w:val="auto"/>
        </w:rPr>
        <w:t>— We use fair value measurements to record fair value adjustments to certain financial instruments and to determine fair value disclosures.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Investment securities available-for-sale and interest-rate swaps are financial instruments recorded at fair value on a recurring basis. Additionally, from time to time, we may be required to record at fair value other assets on a non-recurring basis, such as individually evaluated loans and OREO. These non-recurring fair value adjustments typically involve application of lower-of-cost-or-market accounting or write -downs of individual assets. Further, we include in Note 17 — </w:t>
      </w:r>
      <w:r>
        <w:rPr>
          <w:rFonts w:ascii="Times New Roman" w:cs="Times New Roman" w:eastAsia="Times New Roman" w:hAnsi="Times New Roman"/>
          <w:sz w:val="16"/>
          <w:szCs w:val="16"/>
          <w:i w:val="1"/>
          <w:iCs w:val="1"/>
          <w:color w:val="auto"/>
        </w:rPr>
        <w:t>Fair Value Information</w:t>
      </w:r>
      <w:r>
        <w:rPr>
          <w:rFonts w:ascii="Times New Roman" w:cs="Times New Roman" w:eastAsia="Times New Roman" w:hAnsi="Times New Roman"/>
          <w:sz w:val="16"/>
          <w:szCs w:val="16"/>
          <w:color w:val="auto"/>
        </w:rPr>
        <w:t xml:space="preserve"> of the consolidated financial statements information about the extent to which fair value is used to measure assets and liabilities, the valuation methodologies used and its impact to earnings. Additionally, for financial instruments not recorded at fair value we disclose the estimate of their fair value. Fair values of financial instruments are estimated using relevant market information and other assumptions, as more fully described in a separate note.</w:t>
      </w:r>
    </w:p>
    <w:p>
      <w:pPr>
        <w:spacing w:after="0" w:line="134" w:lineRule="exact"/>
        <w:rPr>
          <w:sz w:val="20"/>
          <w:szCs w:val="20"/>
          <w:color w:val="auto"/>
        </w:rPr>
      </w:pPr>
    </w:p>
    <w:p>
      <w:pPr>
        <w:ind w:right="20" w:firstLine="58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Bank Owned Life Insurance </w:t>
      </w:r>
      <w:r>
        <w:rPr>
          <w:rFonts w:ascii="Times New Roman" w:cs="Times New Roman" w:eastAsia="Times New Roman" w:hAnsi="Times New Roman"/>
          <w:sz w:val="16"/>
          <w:szCs w:val="16"/>
          <w:color w:val="auto"/>
        </w:rPr>
        <w:t>— The Company invests in Bank Owned Life Insurance (“BOLI”). BOLI involves the purchasing of life insurance by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on a select group of employees. The Company is the owner and primary beneficiary of these policies. BOLI is recorded as an asset at the cash surrender value. Increases in the cash value of these policies, as well as insurance proceeds received, are recorded in other noninterest income and are not subject to income tax for as long as they are held for the life of the covered employee.</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9" w:name="page100"/>
    <w:bookmarkEnd w:id="99"/>
    <w:p>
      <w:pPr>
        <w:spacing w:after="0" w:line="133" w:lineRule="exact"/>
        <w:rPr>
          <w:sz w:val="20"/>
          <w:szCs w:val="20"/>
          <w:color w:val="auto"/>
        </w:rPr>
      </w:pPr>
    </w:p>
    <w:p>
      <w:pPr>
        <w:ind w:right="20" w:firstLine="58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Qualified Affordable Housing Partnerships and Tax Credit Partnerships </w:t>
      </w:r>
      <w:r>
        <w:rPr>
          <w:rFonts w:ascii="Times New Roman" w:cs="Times New Roman" w:eastAsia="Times New Roman" w:hAnsi="Times New Roman"/>
          <w:sz w:val="16"/>
          <w:szCs w:val="16"/>
          <w:color w:val="auto"/>
        </w:rPr>
        <w:t>— The Bank invests in qualified affordable housing partnerships and accounts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these investments using the proportional amortization method. Under the proportional amortization method, the Bank amortizes the initial cost of the investment in proportion to the tax credits and other tax benefits received, and recognizes the amortization as a component of income tax expense. The Bank also invests in various tax credit partnerships pursuant to Sections 42 and 48 of the Internal Revenue Code of 1986. The Bank acts as a limited partner in these investments and does not exercise control over the financial or operating policies of the partnerships and as such, is not considered the primary beneficiary of the partnership. Upon entering into new solar tax equity investments in the second quarter of 2023, the Company elected to account for tax credit partnerships using the proportional amortization method on a prospective basis.</w:t>
      </w:r>
    </w:p>
    <w:p>
      <w:pPr>
        <w:spacing w:after="0" w:line="134"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 Income taxes are accounted for under the asset and liability method. Deferred tax assets and liabilities are recognized for the future tax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Future realization of deferred tax assets ultimately depends on the existence of sufficient taxable income of the appropriate character (for example, ordinary income or capital gain) within the carryback or carryforward periods available under the tax law. Based on historical and future expected taxable earnings, the Company considers the future realization of these deferred tax assets more likely than not. A valuation allowance, if needed, reduces deferred tax assets to the amount expected to be realized.</w:t>
      </w:r>
    </w:p>
    <w:p>
      <w:pPr>
        <w:spacing w:after="0" w:line="135" w:lineRule="exact"/>
        <w:rPr>
          <w:sz w:val="20"/>
          <w:szCs w:val="20"/>
          <w:color w:val="auto"/>
        </w:rPr>
      </w:pPr>
    </w:p>
    <w:p>
      <w:pPr>
        <w:jc w:val="both"/>
        <w:ind w:right="160" w:firstLine="588"/>
        <w:spacing w:after="0" w:line="247" w:lineRule="auto"/>
        <w:rPr>
          <w:sz w:val="20"/>
          <w:szCs w:val="20"/>
          <w:color w:val="auto"/>
        </w:rPr>
      </w:pPr>
      <w:r>
        <w:rPr>
          <w:rFonts w:ascii="Times New Roman" w:cs="Times New Roman" w:eastAsia="Times New Roman" w:hAnsi="Times New Roman"/>
          <w:sz w:val="16"/>
          <w:szCs w:val="16"/>
          <w:color w:val="auto"/>
        </w:rPr>
        <w:t xml:space="preserve">The tax effects from an uncertain tax position are recognized in the financial statements only if, based on its merits, the position is more likely than not to be sustained on audit by the taxing authorities. The Company recognizes interest and/or penalties related to income tax matters in income tax expense. Refer to Note 9 — </w:t>
      </w: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for additional information.</w:t>
      </w:r>
    </w:p>
    <w:p>
      <w:pPr>
        <w:spacing w:after="0" w:line="124" w:lineRule="exact"/>
        <w:rPr>
          <w:sz w:val="20"/>
          <w:szCs w:val="20"/>
          <w:color w:val="auto"/>
        </w:rPr>
      </w:pPr>
    </w:p>
    <w:p>
      <w:pPr>
        <w:ind w:firstLine="588"/>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 xml:space="preserve">Operating Leases — </w:t>
      </w:r>
      <w:r>
        <w:rPr>
          <w:rFonts w:ascii="Times New Roman" w:cs="Times New Roman" w:eastAsia="Times New Roman" w:hAnsi="Times New Roman"/>
          <w:sz w:val="14"/>
          <w:szCs w:val="14"/>
          <w:color w:val="auto"/>
        </w:rPr>
        <w:t>At December 31, 2024, the Company only had operating leases for our leased facilities, which are used primarily for the banking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operations of the Company. All leases in the current portfolio have been classified as operating leases, although this may change in the future. Operating leases with a term of more than one year are included in operating lease right-of-use (“ROU”) assets and operating lease liabilities on the Company’s consolidated balance sheets. The Company made a policy election to apply the short- term lease exemption to any operating leases with an original term of less than 12 months, therefore no ROU asset or lease liability is recorded for these operating leases. ROU assets represent the Company’s right to use an underlying asset for the lease term and lease liabilities represent the obligation to make lease payments arising from the lease. The Company determines if an arrangement is a lease at inception by assessing whether there is an identified asset and whether the contract conveys the right to control the use of the identified asset for a period of time in exchange for consideration.</w:t>
      </w:r>
    </w:p>
    <w:p>
      <w:pPr>
        <w:spacing w:after="0" w:line="108" w:lineRule="exact"/>
        <w:rPr>
          <w:sz w:val="20"/>
          <w:szCs w:val="20"/>
          <w:color w:val="auto"/>
        </w:rPr>
      </w:pPr>
    </w:p>
    <w:p>
      <w:pPr>
        <w:ind w:right="80" w:firstLine="588"/>
        <w:spacing w:after="0" w:line="241" w:lineRule="auto"/>
        <w:rPr>
          <w:sz w:val="20"/>
          <w:szCs w:val="20"/>
          <w:color w:val="auto"/>
        </w:rPr>
      </w:pPr>
      <w:r>
        <w:rPr>
          <w:rFonts w:ascii="Times New Roman" w:cs="Times New Roman" w:eastAsia="Times New Roman" w:hAnsi="Times New Roman"/>
          <w:sz w:val="16"/>
          <w:szCs w:val="16"/>
          <w:color w:val="auto"/>
        </w:rPr>
        <w:t xml:space="preserve">Operating lease ROU assets and lease liabilities are included in </w:t>
      </w:r>
      <w:r>
        <w:rPr>
          <w:rFonts w:ascii="Times New Roman" w:cs="Times New Roman" w:eastAsia="Times New Roman" w:hAnsi="Times New Roman"/>
          <w:sz w:val="16"/>
          <w:szCs w:val="16"/>
          <w:i w:val="1"/>
          <w:iCs w:val="1"/>
          <w:color w:val="auto"/>
        </w:rPr>
        <w:t>other assets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other liabilities</w:t>
      </w:r>
      <w:r>
        <w:rPr>
          <w:rFonts w:ascii="Times New Roman" w:cs="Times New Roman" w:eastAsia="Times New Roman" w:hAnsi="Times New Roman"/>
          <w:sz w:val="16"/>
          <w:szCs w:val="16"/>
          <w:color w:val="auto"/>
        </w:rPr>
        <w:t xml:space="preserve">, respectively, on the Company’s consolidated balance sheet. The Company uses its incremental borrowing rate, factoring in the lease term, to determine the lease liability, which is measured at the present value of future lease payments. The ROU assets, at adoption of this ASU, were initially recorded at the amount of the lease liability plus any prepaid rent and initial direct costs, less any lease incentives and accrued rent. The lease terms include periods covered by options to extend or terminate the lease depending on whether the Company is reasonably certain to exercise such options. Refer to Note 21 —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for more information.</w:t>
      </w:r>
    </w:p>
    <w:p>
      <w:pPr>
        <w:spacing w:after="0" w:line="131" w:lineRule="exact"/>
        <w:rPr>
          <w:sz w:val="20"/>
          <w:szCs w:val="20"/>
          <w:color w:val="auto"/>
        </w:rPr>
      </w:pPr>
    </w:p>
    <w:p>
      <w:pPr>
        <w:ind w:right="160" w:firstLine="588"/>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Earnings per Common Share </w:t>
      </w:r>
      <w:r>
        <w:rPr>
          <w:rFonts w:ascii="Times New Roman" w:cs="Times New Roman" w:eastAsia="Times New Roman" w:hAnsi="Times New Roman"/>
          <w:sz w:val="14"/>
          <w:szCs w:val="14"/>
          <w:color w:val="auto"/>
        </w:rPr>
        <w:t>— The Company calculates earnings per common share (“EPS”) using the two- class method. Under the two-class method,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earnings available to common stockholders for the period are allocated between common stockholders and participating securities according to dividends declared and participation rights in undistributed earnings. All outstanding unvested share- based payment awards that contain rights to non-forfeitable dividends are considered participating securities. The Company has granted restricted shares under the 2008 and 2018 Equity Incentive Plans that qualify as participating securities. Restricted shares issued under these plans are entitled to dividends at the same rate as common stockholders. A reconciliation of the numerator and the denominator used in the computation of basic and diluted earnings per common share is included in Note 14 — </w:t>
      </w:r>
      <w:r>
        <w:rPr>
          <w:rFonts w:ascii="Times New Roman" w:cs="Times New Roman" w:eastAsia="Times New Roman" w:hAnsi="Times New Roman"/>
          <w:sz w:val="14"/>
          <w:szCs w:val="14"/>
          <w:i w:val="1"/>
          <w:iCs w:val="1"/>
          <w:color w:val="auto"/>
        </w:rPr>
        <w:t>Earnings Per Share Reconciliation</w:t>
      </w:r>
      <w:r>
        <w:rPr>
          <w:rFonts w:ascii="Times New Roman" w:cs="Times New Roman" w:eastAsia="Times New Roman" w:hAnsi="Times New Roman"/>
          <w:sz w:val="14"/>
          <w:szCs w:val="14"/>
          <w:color w:val="auto"/>
        </w:rPr>
        <w:t xml:space="preserve"> of these consolidated financial statements.</w:t>
      </w:r>
    </w:p>
    <w:p>
      <w:pPr>
        <w:spacing w:after="0" w:line="101" w:lineRule="exact"/>
        <w:rPr>
          <w:sz w:val="20"/>
          <w:szCs w:val="20"/>
          <w:color w:val="auto"/>
        </w:rPr>
      </w:pPr>
    </w:p>
    <w:p>
      <w:pPr>
        <w:ind w:firstLine="58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Stock-Based Compensation </w:t>
      </w:r>
      <w:r>
        <w:rPr>
          <w:rFonts w:ascii="Times New Roman" w:cs="Times New Roman" w:eastAsia="Times New Roman" w:hAnsi="Times New Roman"/>
          <w:sz w:val="16"/>
          <w:szCs w:val="16"/>
          <w:color w:val="auto"/>
        </w:rPr>
        <w:t>— The Company issues stock-based compensation instruments consisting of incentive stock options (“ISOs”), time-based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restricted stock awards (“RSAs”) and performance-based restricted stock units (“PRSUs”). Compensation expense related to ISOs and RSAs is based on the fair value of the underlying stock on the award date and is recognized over the required service period using the straight-line method. Forfeitures of stock-based awards are recognized when they occur.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0" w:name="page101"/>
    <w:bookmarkEnd w:id="100"/>
    <w:p>
      <w:pPr>
        <w:spacing w:after="0" w:line="137" w:lineRule="exact"/>
        <w:rPr>
          <w:sz w:val="20"/>
          <w:szCs w:val="20"/>
          <w:color w:val="auto"/>
        </w:rPr>
      </w:pPr>
    </w:p>
    <w:p>
      <w:pPr>
        <w:ind w:right="40" w:firstLine="588"/>
        <w:spacing w:after="0" w:line="247" w:lineRule="auto"/>
        <w:rPr>
          <w:sz w:val="20"/>
          <w:szCs w:val="20"/>
          <w:color w:val="auto"/>
        </w:rPr>
      </w:pPr>
      <w:r>
        <w:rPr>
          <w:rFonts w:ascii="Times New Roman" w:cs="Times New Roman" w:eastAsia="Times New Roman" w:hAnsi="Times New Roman"/>
          <w:sz w:val="16"/>
          <w:szCs w:val="16"/>
          <w:color w:val="auto"/>
        </w:rPr>
        <w:t>The fair value of each ISO grant is estimated as of the grant date using the Black- Scholes option-pricing model. Management assumptions used at the time of grant impact the fair value of the option calculated under the Black-Scholes option-pricing model, and ultimately, the expense that will be recognized over the life of the option.</w:t>
      </w:r>
    </w:p>
    <w:p>
      <w:pPr>
        <w:spacing w:after="0" w:line="128" w:lineRule="exact"/>
        <w:rPr>
          <w:sz w:val="20"/>
          <w:szCs w:val="20"/>
          <w:color w:val="auto"/>
        </w:rPr>
      </w:pPr>
    </w:p>
    <w:p>
      <w:pPr>
        <w:ind w:right="120" w:firstLine="588"/>
        <w:spacing w:after="0" w:line="241" w:lineRule="auto"/>
        <w:rPr>
          <w:sz w:val="20"/>
          <w:szCs w:val="20"/>
          <w:color w:val="auto"/>
        </w:rPr>
      </w:pPr>
      <w:r>
        <w:rPr>
          <w:rFonts w:ascii="Times New Roman" w:cs="Times New Roman" w:eastAsia="Times New Roman" w:hAnsi="Times New Roman"/>
          <w:sz w:val="16"/>
          <w:szCs w:val="16"/>
          <w:color w:val="auto"/>
        </w:rPr>
        <w:t>The grant date fair value of RSA and PRSU awards is the market price of the Company's common stock at the date of grant. Compensation expense related to PRSUs is amortized over the vesting period using the straight-line method unless it is determined that: (1) attainment of the financial metrics is less than probable, in which case a portion of the amortization is suspended, or (2) attainment of the financial metrics is improbable, in which case a portion of the previously recognized amortization is reversed and also suspended. PRSU expense may vary during the performance period based upon changes in management's estimate of the number of shares that may ultimately vest.</w:t>
      </w:r>
    </w:p>
    <w:p>
      <w:pPr>
        <w:spacing w:after="0" w:line="133" w:lineRule="exact"/>
        <w:rPr>
          <w:sz w:val="20"/>
          <w:szCs w:val="20"/>
          <w:color w:val="auto"/>
        </w:rPr>
      </w:pPr>
    </w:p>
    <w:p>
      <w:pPr>
        <w:ind w:right="40" w:firstLine="588"/>
        <w:spacing w:after="0" w:line="299" w:lineRule="auto"/>
        <w:rPr>
          <w:sz w:val="20"/>
          <w:szCs w:val="20"/>
          <w:color w:val="auto"/>
        </w:rPr>
      </w:pPr>
      <w:r>
        <w:rPr>
          <w:rFonts w:ascii="Times New Roman" w:cs="Times New Roman" w:eastAsia="Times New Roman" w:hAnsi="Times New Roman"/>
          <w:sz w:val="14"/>
          <w:szCs w:val="14"/>
          <w:color w:val="auto"/>
        </w:rPr>
        <w:t>Unexercised ISOs do not participate with common stock in any dividends declared and paid. Unvested RSAs participate with common stock in any dividends declared and paid. Unvested PRSUs participate with common stock in any dividends declared, but are only paid on the shares which ultimately vest, if any, at the end of the performance period. At the time of vesting, the vested shares are entitled to receive cumulative dividends declared and paid during the performance period.</w:t>
      </w:r>
    </w:p>
    <w:p>
      <w:pPr>
        <w:spacing w:after="0" w:line="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 xml:space="preserve">Additional information is included in Note 15 — </w:t>
      </w:r>
      <w:r>
        <w:rPr>
          <w:rFonts w:ascii="Times New Roman" w:cs="Times New Roman" w:eastAsia="Times New Roman" w:hAnsi="Times New Roman"/>
          <w:sz w:val="16"/>
          <w:szCs w:val="16"/>
          <w:i w:val="1"/>
          <w:iCs w:val="1"/>
          <w:color w:val="auto"/>
        </w:rPr>
        <w:t>Stock-Based Compensation Plans</w:t>
      </w:r>
      <w:r>
        <w:rPr>
          <w:rFonts w:ascii="Times New Roman" w:cs="Times New Roman" w:eastAsia="Times New Roman" w:hAnsi="Times New Roman"/>
          <w:sz w:val="16"/>
          <w:szCs w:val="16"/>
          <w:color w:val="auto"/>
        </w:rPr>
        <w:t xml:space="preserve"> of the consolidated financial statements included herein.</w:t>
      </w:r>
    </w:p>
    <w:p>
      <w:pPr>
        <w:spacing w:after="0" w:line="150" w:lineRule="exact"/>
        <w:rPr>
          <w:sz w:val="20"/>
          <w:szCs w:val="20"/>
          <w:color w:val="auto"/>
        </w:rPr>
      </w:pPr>
    </w:p>
    <w:p>
      <w:pPr>
        <w:ind w:right="40" w:firstLine="60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Derivative Financial Instruments </w:t>
      </w:r>
      <w:r>
        <w:rPr>
          <w:rFonts w:ascii="Times New Roman" w:cs="Times New Roman" w:eastAsia="Times New Roman" w:hAnsi="Times New Roman"/>
          <w:sz w:val="16"/>
          <w:szCs w:val="16"/>
          <w:color w:val="auto"/>
        </w:rPr>
        <w:t>— All derivative instruments, including certain derivative instruments embedded in other contracts, are recognized on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consolidated balance sheets at fair value. On the date the derivative contract is entered into, the Company designates the derivative as a fair value hedge (i.e., a hedge of the fair value of a recognized asset or liability), a cash flow hedge (i.e., a hedge of the variability of cash flows to be received or paid related to a recognized asset or liability), or a free -standing derivative instrument. For derivatives designated as fair value hedges, changes in the fair value of the derivative and the hedged item related to the hedged risk are recognized in earnings. All changes in fair value for cash flow hedges, are recorded in “Other Comprehensive Income,” net of deferred taxes, including any ineffectiveness as long as the hedge remains highly effective.</w:t>
      </w:r>
    </w:p>
    <w:p>
      <w:pPr>
        <w:spacing w:after="0" w:line="158" w:lineRule="exact"/>
        <w:rPr>
          <w:sz w:val="20"/>
          <w:szCs w:val="20"/>
          <w:color w:val="auto"/>
        </w:rPr>
      </w:pPr>
    </w:p>
    <w:p>
      <w:pPr>
        <w:ind w:firstLine="432"/>
        <w:spacing w:after="0" w:line="241" w:lineRule="auto"/>
        <w:rPr>
          <w:sz w:val="20"/>
          <w:szCs w:val="20"/>
          <w:color w:val="auto"/>
        </w:rPr>
      </w:pPr>
      <w:r>
        <w:rPr>
          <w:rFonts w:ascii="Times New Roman" w:cs="Times New Roman" w:eastAsia="Times New Roman" w:hAnsi="Times New Roman"/>
          <w:sz w:val="16"/>
          <w:szCs w:val="16"/>
          <w:color w:val="auto"/>
        </w:rPr>
        <w:t xml:space="preserve">We assess hedge effectiveness under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on a quarterly basis to ensure all hedges remain highly effective and hedge accounting under ASC 815 can be applied. In conjunction with the assessment of effectiveness, we assess the hedged item to ensure it is expected to be outstanding at the hedged item’s assumed maturity date and the portfolio layer method of accounting under ASC 815 can be applied. The portfolio layer method allows multiple hedged layers of a single closed portfolio. Fair value basis adjustments in an existing portfolio layer method hedge are maintained at the closed portfolio level (Balance Sheet line item level) and are therefore not allocated to individual assets.</w:t>
      </w:r>
    </w:p>
    <w:p>
      <w:pPr>
        <w:spacing w:after="0" w:line="131" w:lineRule="exact"/>
        <w:rPr>
          <w:sz w:val="20"/>
          <w:szCs w:val="20"/>
          <w:color w:val="auto"/>
        </w:rPr>
      </w:pPr>
    </w:p>
    <w:p>
      <w:pPr>
        <w:ind w:firstLine="588"/>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Statement of Cash Flows </w:t>
      </w:r>
      <w:r>
        <w:rPr>
          <w:rFonts w:ascii="Times New Roman" w:cs="Times New Roman" w:eastAsia="Times New Roman" w:hAnsi="Times New Roman"/>
          <w:sz w:val="14"/>
          <w:szCs w:val="14"/>
          <w:color w:val="auto"/>
        </w:rPr>
        <w:t>— Cash and cash equivalents, as reported in the statements of cash flows, include cash and due from banks, interest-bearing balances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due from depository institutions and federal funds sold with original maturities of three months or less. Cash flows from loans and deposits are reported net.</w:t>
      </w:r>
    </w:p>
    <w:p>
      <w:pPr>
        <w:spacing w:after="0" w:line="64" w:lineRule="exact"/>
        <w:rPr>
          <w:sz w:val="20"/>
          <w:szCs w:val="20"/>
          <w:color w:val="auto"/>
        </w:rPr>
      </w:pPr>
    </w:p>
    <w:p>
      <w:pPr>
        <w:ind w:right="60" w:firstLine="58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Contingencies </w:t>
      </w:r>
      <w:r>
        <w:rPr>
          <w:rFonts w:ascii="Times New Roman" w:cs="Times New Roman" w:eastAsia="Times New Roman" w:hAnsi="Times New Roman"/>
          <w:sz w:val="16"/>
          <w:szCs w:val="16"/>
          <w:color w:val="auto"/>
        </w:rPr>
        <w:t>— In the ordinary course of business, the Company becomes involved in litigation. Based upon the Company’s internal records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discussions with legal counsel, the Company records accruals as appropriate, for estimates of the probable outcome of all cases brought against the Company. Except as discussed in Note 12 —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at December 31, 2024, the Company does not have any material litigation accruals and is not aware of any material pending legal action or complaints asserted against the Company.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1" w:name="page102"/>
    <w:bookmarkEnd w:id="101"/>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INVESTMENT SECURITIES</w:t>
      </w:r>
    </w:p>
    <w:p>
      <w:pPr>
        <w:spacing w:after="0" w:line="154" w:lineRule="exact"/>
        <w:rPr>
          <w:sz w:val="20"/>
          <w:szCs w:val="20"/>
          <w:color w:val="auto"/>
        </w:rPr>
      </w:pPr>
    </w:p>
    <w:p>
      <w:pPr>
        <w:ind w:left="20" w:right="160" w:firstLine="600"/>
        <w:spacing w:after="0" w:line="247" w:lineRule="auto"/>
        <w:rPr>
          <w:sz w:val="20"/>
          <w:szCs w:val="20"/>
          <w:color w:val="auto"/>
        </w:rPr>
      </w:pPr>
      <w:r>
        <w:rPr>
          <w:rFonts w:ascii="Times New Roman" w:cs="Times New Roman" w:eastAsia="Times New Roman" w:hAnsi="Times New Roman"/>
          <w:sz w:val="16"/>
          <w:szCs w:val="16"/>
          <w:color w:val="auto"/>
        </w:rPr>
        <w:t>The amortized cost and estimated fair value of investment securities are summarized below. Fair value is based on quoted prices for similar assets in active markets or quoted prices for identical assets in markets that are not active. Estimated fair values were obtained from an independent pricing service based upon market quotes.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0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3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3"/>
        </w:trPr>
        <w:tc>
          <w:tcPr>
            <w:tcW w:w="37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6"/>
                <w:szCs w:val="16"/>
                <w:color w:val="auto"/>
              </w:rPr>
            </w:pPr>
          </w:p>
        </w:tc>
        <w:tc>
          <w:tcPr>
            <w:tcW w:w="108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8"/>
              </w:rPr>
              <w:t>Holding Gain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Holding Loss</w:t>
            </w: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 Percent</w:t>
            </w:r>
          </w:p>
        </w:tc>
      </w:tr>
      <w:tr>
        <w:trPr>
          <w:trHeight w:val="182"/>
        </w:trPr>
        <w:tc>
          <w:tcPr>
            <w:tcW w:w="3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80"/>
        </w:trPr>
        <w:tc>
          <w:tcPr>
            <w:tcW w:w="37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34,149</w:t>
            </w:r>
          </w:p>
        </w:tc>
        <w:tc>
          <w:tcPr>
            <w:tcW w:w="30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3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34,255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r>
      <w:tr>
        <w:trPr>
          <w:trHeight w:val="180"/>
        </w:trPr>
        <w:tc>
          <w:tcPr>
            <w:tcW w:w="37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2,460,573</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(326,376)</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2,134,534</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83.97%</w:t>
            </w:r>
          </w:p>
        </w:tc>
      </w:tr>
      <w:tr>
        <w:trPr>
          <w:trHeight w:val="180"/>
        </w:trPr>
        <w:tc>
          <w:tcPr>
            <w:tcW w:w="37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300" w:type="dxa"/>
            <w:vAlign w:val="bottom"/>
          </w:tcPr>
          <w:p>
            <w:pPr>
              <w:spacing w:after="0"/>
              <w:rPr>
                <w:sz w:val="15"/>
                <w:szCs w:val="15"/>
                <w:color w:val="auto"/>
              </w:rPr>
            </w:pPr>
          </w:p>
        </w:tc>
        <w:tc>
          <w:tcPr>
            <w:tcW w:w="11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471,921</w:t>
            </w: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(120,399)</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351,522</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13.82%</w:t>
            </w:r>
          </w:p>
        </w:tc>
      </w:tr>
      <w:tr>
        <w:trPr>
          <w:trHeight w:val="180"/>
        </w:trPr>
        <w:tc>
          <w:tcPr>
            <w:tcW w:w="37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21,755</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(1,406)</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20,377</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0.80%</w:t>
            </w:r>
          </w:p>
        </w:tc>
      </w:tr>
      <w:tr>
        <w:trPr>
          <w:trHeight w:val="180"/>
        </w:trPr>
        <w:tc>
          <w:tcPr>
            <w:tcW w:w="37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300" w:type="dxa"/>
            <w:vAlign w:val="bottom"/>
          </w:tcPr>
          <w:p>
            <w:pPr>
              <w:spacing w:after="0"/>
              <w:rPr>
                <w:sz w:val="15"/>
                <w:szCs w:val="15"/>
                <w:color w:val="auto"/>
              </w:rPr>
            </w:pPr>
          </w:p>
        </w:tc>
        <w:tc>
          <w:tcPr>
            <w:tcW w:w="11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96"/>
              </w:rPr>
              <w:t>Unallocated portfolio layer fair value basis adjustments (1)</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12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0.00%</w:t>
            </w:r>
          </w:p>
        </w:tc>
      </w:tr>
      <w:tr>
        <w:trPr>
          <w:trHeight w:val="180"/>
        </w:trPr>
        <w:tc>
          <w:tcPr>
            <w:tcW w:w="3700" w:type="dxa"/>
            <w:vAlign w:val="bottom"/>
          </w:tcPr>
          <w:p>
            <w:pPr>
              <w:ind w:left="340"/>
              <w:spacing w:after="0" w:line="16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300" w:type="dxa"/>
            <w:vAlign w:val="bottom"/>
          </w:tcPr>
          <w:p>
            <w:pPr>
              <w:jc w:val="right"/>
              <w:ind w:right="1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2,997,047</w:t>
            </w:r>
          </w:p>
        </w:tc>
        <w:tc>
          <w:tcPr>
            <w:tcW w:w="300" w:type="dxa"/>
            <w:vAlign w:val="bottom"/>
          </w:tcPr>
          <w:p>
            <w:pPr>
              <w:spacing w:after="0"/>
              <w:rPr>
                <w:sz w:val="15"/>
                <w:szCs w:val="15"/>
                <w:color w:val="auto"/>
              </w:rPr>
            </w:pP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471</w:t>
            </w:r>
          </w:p>
        </w:tc>
        <w:tc>
          <w:tcPr>
            <w:tcW w:w="36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1"/>
                <w:szCs w:val="11"/>
                <w:color w:val="auto"/>
              </w:rPr>
              <w:t>(455,403</w:t>
            </w:r>
            <w:r>
              <w:rPr>
                <w:rFonts w:ascii="Times New Roman" w:cs="Times New Roman" w:eastAsia="Times New Roman" w:hAnsi="Times New Roman"/>
                <w:sz w:val="18"/>
                <w:szCs w:val="18"/>
                <w:color w:val="auto"/>
                <w:vertAlign w:val="subscript"/>
              </w:rPr>
              <w:t>)</w:t>
            </w:r>
          </w:p>
        </w:tc>
        <w:tc>
          <w:tcPr>
            <w:tcW w:w="1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2,542,115</w:t>
            </w:r>
          </w:p>
        </w:tc>
        <w:tc>
          <w:tcPr>
            <w:tcW w:w="240" w:type="dxa"/>
            <w:vAlign w:val="bottom"/>
          </w:tcPr>
          <w:p>
            <w:pPr>
              <w:spacing w:after="0"/>
              <w:rPr>
                <w:sz w:val="15"/>
                <w:szCs w:val="15"/>
                <w:color w:val="auto"/>
              </w:rPr>
            </w:pPr>
          </w:p>
        </w:tc>
        <w:tc>
          <w:tcPr>
            <w:tcW w:w="11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r>
      <w:tr>
        <w:trPr>
          <w:trHeight w:val="20"/>
        </w:trPr>
        <w:tc>
          <w:tcPr>
            <w:tcW w:w="3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37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3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tcBorders>
              <w:right w:val="single" w:sz="8" w:color="CFF0FC"/>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80"/>
        </w:trPr>
        <w:tc>
          <w:tcPr>
            <w:tcW w:w="37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514,572</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(106,315)</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408,257</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21.62%</w:t>
            </w:r>
          </w:p>
        </w:tc>
      </w:tr>
      <w:tr>
        <w:trPr>
          <w:trHeight w:val="180"/>
        </w:trPr>
        <w:tc>
          <w:tcPr>
            <w:tcW w:w="37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614,383</w:t>
            </w:r>
          </w:p>
        </w:tc>
        <w:tc>
          <w:tcPr>
            <w:tcW w:w="12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(110,020)</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504,363</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25.82%</w:t>
            </w:r>
          </w:p>
        </w:tc>
      </w:tr>
      <w:tr>
        <w:trPr>
          <w:trHeight w:val="180"/>
        </w:trPr>
        <w:tc>
          <w:tcPr>
            <w:tcW w:w="37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300" w:type="dxa"/>
            <w:vAlign w:val="bottom"/>
          </w:tcPr>
          <w:p>
            <w:pPr>
              <w:spacing w:after="0"/>
              <w:rPr>
                <w:sz w:val="15"/>
                <w:szCs w:val="15"/>
                <w:color w:val="auto"/>
              </w:rPr>
            </w:pPr>
          </w:p>
        </w:tc>
        <w:tc>
          <w:tcPr>
            <w:tcW w:w="11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784,059</w:t>
            </w: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(170,121)</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613,938</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32.95%</w:t>
            </w:r>
          </w:p>
        </w:tc>
      </w:tr>
      <w:tr>
        <w:trPr>
          <w:trHeight w:val="180"/>
        </w:trPr>
        <w:tc>
          <w:tcPr>
            <w:tcW w:w="37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455,199</w:t>
            </w:r>
          </w:p>
        </w:tc>
        <w:tc>
          <w:tcPr>
            <w:tcW w:w="12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(40,025)</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416,332</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19.13%</w:t>
            </w:r>
          </w:p>
        </w:tc>
      </w:tr>
      <w:tr>
        <w:trPr>
          <w:trHeight w:val="180"/>
        </w:trPr>
        <w:tc>
          <w:tcPr>
            <w:tcW w:w="37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securities (2)</w:t>
            </w:r>
          </w:p>
        </w:tc>
        <w:tc>
          <w:tcPr>
            <w:tcW w:w="3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0.48%</w:t>
            </w:r>
          </w:p>
        </w:tc>
      </w:tr>
      <w:tr>
        <w:trPr>
          <w:trHeight w:val="200"/>
        </w:trPr>
        <w:tc>
          <w:tcPr>
            <w:tcW w:w="3700" w:type="dxa"/>
            <w:vAlign w:val="bottom"/>
            <w:shd w:val="clear" w:color="auto" w:fill="CFF0FC"/>
          </w:tcPr>
          <w:p>
            <w:pPr>
              <w:ind w:left="340"/>
              <w:spacing w:after="0" w:line="160" w:lineRule="exact"/>
              <w:rPr>
                <w:sz w:val="20"/>
                <w:szCs w:val="20"/>
                <w:color w:val="auto"/>
              </w:rPr>
            </w:pPr>
            <w:r>
              <w:rPr>
                <w:rFonts w:ascii="Times New Roman" w:cs="Times New Roman" w:eastAsia="Times New Roman" w:hAnsi="Times New Roman"/>
                <w:sz w:val="16"/>
                <w:szCs w:val="16"/>
                <w:color w:val="auto"/>
              </w:rPr>
              <w:t>Total held-to-maturity securities</w:t>
            </w:r>
          </w:p>
        </w:tc>
        <w:tc>
          <w:tcPr>
            <w:tcW w:w="300" w:type="dxa"/>
            <w:vAlign w:val="bottom"/>
            <w:shd w:val="clear" w:color="auto" w:fill="CFF0FC"/>
          </w:tcPr>
          <w:p>
            <w:pPr>
              <w:jc w:val="right"/>
              <w:ind w:right="1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2,379,668</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1,158</w:t>
            </w:r>
          </w:p>
        </w:tc>
        <w:tc>
          <w:tcPr>
            <w:tcW w:w="36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240"/>
              <w:spacing w:after="0" w:line="160" w:lineRule="exact"/>
              <w:rPr>
                <w:sz w:val="20"/>
                <w:szCs w:val="20"/>
                <w:color w:val="auto"/>
              </w:rPr>
            </w:pPr>
            <w:r>
              <w:rPr>
                <w:rFonts w:ascii="Times New Roman" w:cs="Times New Roman" w:eastAsia="Times New Roman" w:hAnsi="Times New Roman"/>
                <w:sz w:val="11"/>
                <w:szCs w:val="11"/>
                <w:color w:val="auto"/>
              </w:rPr>
              <w:t>(426,481</w:t>
            </w:r>
            <w:r>
              <w:rPr>
                <w:rFonts w:ascii="Times New Roman" w:cs="Times New Roman" w:eastAsia="Times New Roman" w:hAnsi="Times New Roman"/>
                <w:sz w:val="18"/>
                <w:szCs w:val="18"/>
                <w:color w:val="auto"/>
                <w:vertAlign w:val="subscript"/>
              </w:rPr>
              <w:t>)</w:t>
            </w:r>
          </w:p>
        </w:tc>
        <w:tc>
          <w:tcPr>
            <w:tcW w:w="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1,954,345</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64" w:lineRule="exact"/>
        <w:rPr>
          <w:sz w:val="20"/>
          <w:szCs w:val="20"/>
          <w:color w:val="auto"/>
        </w:rPr>
      </w:pPr>
    </w:p>
    <w:p>
      <w:pPr>
        <w:ind w:left="980" w:right="60"/>
        <w:spacing w:after="0" w:line="268" w:lineRule="auto"/>
        <w:rPr>
          <w:sz w:val="20"/>
          <w:szCs w:val="20"/>
          <w:color w:val="auto"/>
        </w:rPr>
      </w:pPr>
      <w:r>
        <w:rPr>
          <w:rFonts w:ascii="Times New Roman" w:cs="Times New Roman" w:eastAsia="Times New Roman" w:hAnsi="Times New Roman"/>
          <w:sz w:val="13"/>
          <w:szCs w:val="13"/>
          <w:color w:val="auto"/>
        </w:rPr>
        <w:t>(1)Represents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18 for additional information.</w:t>
      </w:r>
    </w:p>
    <w:p>
      <w:pPr>
        <w:spacing w:after="0" w:line="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(2)Represents Commercial Property Assessed Clean Energy (</w:t>
      </w:r>
      <w:r>
        <w:rPr>
          <w:rFonts w:ascii="Times New Roman" w:cs="Times New Roman" w:eastAsia="Times New Roman" w:hAnsi="Times New Roman"/>
          <w:sz w:val="15"/>
          <w:szCs w:val="15"/>
          <w:color w:val="auto"/>
        </w:rPr>
        <w:t>“C-PACE”) bonds.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3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3800" w:type="dxa"/>
            <w:vAlign w:val="bottom"/>
          </w:tcPr>
          <w:p>
            <w:pPr>
              <w:spacing w:after="0"/>
              <w:rPr>
                <w:sz w:val="15"/>
                <w:szCs w:val="15"/>
                <w:color w:val="auto"/>
              </w:rPr>
            </w:pPr>
          </w:p>
        </w:tc>
        <w:tc>
          <w:tcPr>
            <w:tcW w:w="1400" w:type="dxa"/>
            <w:vAlign w:val="bottom"/>
            <w:gridSpan w:val="3"/>
          </w:tcPr>
          <w:p>
            <w:pPr>
              <w:jc w:val="right"/>
              <w:ind w:right="3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100" w:type="dxa"/>
            <w:vAlign w:val="bottom"/>
          </w:tcPr>
          <w:p>
            <w:pPr>
              <w:spacing w:after="0"/>
              <w:rPr>
                <w:sz w:val="15"/>
                <w:szCs w:val="15"/>
                <w:color w:val="auto"/>
              </w:rPr>
            </w:pPr>
          </w:p>
        </w:tc>
        <w:tc>
          <w:tcPr>
            <w:tcW w:w="1020" w:type="dxa"/>
            <w:vAlign w:val="bottom"/>
          </w:tcPr>
          <w:p>
            <w:pPr>
              <w:jc w:val="center"/>
              <w:ind w:right="2"/>
              <w:spacing w:after="0" w:line="181" w:lineRule="exact"/>
              <w:rPr>
                <w:sz w:val="20"/>
                <w:szCs w:val="20"/>
                <w:color w:val="auto"/>
              </w:rPr>
            </w:pPr>
            <w:r>
              <w:rPr>
                <w:rFonts w:ascii="Times New Roman" w:cs="Times New Roman" w:eastAsia="Times New Roman" w:hAnsi="Times New Roman"/>
                <w:sz w:val="16"/>
                <w:szCs w:val="16"/>
                <w:b w:val="1"/>
                <w:bCs w:val="1"/>
                <w:color w:val="auto"/>
                <w:w w:val="96"/>
              </w:rPr>
              <w:t>Holding Gain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w w:val="97"/>
              </w:rPr>
              <w:t>Holding Loss</w:t>
            </w:r>
          </w:p>
        </w:tc>
        <w:tc>
          <w:tcPr>
            <w:tcW w:w="140" w:type="dxa"/>
            <w:vAlign w:val="bottom"/>
          </w:tcPr>
          <w:p>
            <w:pPr>
              <w:spacing w:after="0"/>
              <w:rPr>
                <w:sz w:val="15"/>
                <w:szCs w:val="15"/>
                <w:color w:val="auto"/>
              </w:rPr>
            </w:pPr>
          </w:p>
        </w:tc>
        <w:tc>
          <w:tcPr>
            <w:tcW w:w="980" w:type="dxa"/>
            <w:vAlign w:val="bottom"/>
          </w:tcPr>
          <w:p>
            <w:pPr>
              <w:jc w:val="right"/>
              <w:ind w:right="122"/>
              <w:spacing w:after="0" w:line="181"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5"/>
                <w:szCs w:val="15"/>
                <w:color w:val="auto"/>
              </w:rPr>
            </w:pPr>
          </w:p>
        </w:tc>
        <w:tc>
          <w:tcPr>
            <w:tcW w:w="130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Total Percent</w:t>
            </w:r>
          </w:p>
        </w:tc>
      </w:tr>
      <w:tr>
        <w:trPr>
          <w:trHeight w:val="182"/>
        </w:trPr>
        <w:tc>
          <w:tcPr>
            <w:tcW w:w="3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8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80"/>
        </w:trPr>
        <w:tc>
          <w:tcPr>
            <w:tcW w:w="38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32,229</w:t>
            </w:r>
          </w:p>
        </w:tc>
        <w:tc>
          <w:tcPr>
            <w:tcW w:w="26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32,253</w:t>
            </w:r>
          </w:p>
        </w:tc>
        <w:tc>
          <w:tcPr>
            <w:tcW w:w="15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1.09 %</w:t>
            </w:r>
          </w:p>
        </w:tc>
      </w:tr>
      <w:tr>
        <w:trPr>
          <w:trHeight w:val="180"/>
        </w:trPr>
        <w:tc>
          <w:tcPr>
            <w:tcW w:w="38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2,843,744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(336,107 )</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2,507,679</w:t>
            </w:r>
          </w:p>
        </w:tc>
        <w:tc>
          <w:tcPr>
            <w:tcW w:w="150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84.83 %</w:t>
            </w:r>
          </w:p>
        </w:tc>
      </w:tr>
      <w:tr>
        <w:trPr>
          <w:trHeight w:val="180"/>
        </w:trPr>
        <w:tc>
          <w:tcPr>
            <w:tcW w:w="38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3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502,234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(112,872 )</w:t>
            </w: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389,362</w:t>
            </w:r>
          </w:p>
        </w:tc>
        <w:tc>
          <w:tcPr>
            <w:tcW w:w="15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13.17 %</w:t>
            </w:r>
          </w:p>
        </w:tc>
      </w:tr>
      <w:tr>
        <w:trPr>
          <w:trHeight w:val="180"/>
        </w:trPr>
        <w:tc>
          <w:tcPr>
            <w:tcW w:w="38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26,477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(888 )</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25,635</w:t>
            </w:r>
          </w:p>
        </w:tc>
        <w:tc>
          <w:tcPr>
            <w:tcW w:w="150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0.87 %</w:t>
            </w:r>
          </w:p>
        </w:tc>
      </w:tr>
      <w:tr>
        <w:trPr>
          <w:trHeight w:val="204"/>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securities</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0.04 %</w:t>
            </w:r>
          </w:p>
        </w:tc>
      </w:tr>
      <w:tr>
        <w:trPr>
          <w:trHeight w:val="167"/>
        </w:trPr>
        <w:tc>
          <w:tcPr>
            <w:tcW w:w="380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Unallocated portfolio layer fair value basis adjustments</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9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(6,938 )</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180"/>
        </w:trPr>
        <w:tc>
          <w:tcPr>
            <w:tcW w:w="3800" w:type="dxa"/>
            <w:vAlign w:val="bottom"/>
          </w:tcPr>
          <w:p>
            <w:pPr>
              <w:ind w:left="340"/>
              <w:spacing w:after="0" w:line="16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300" w:type="dxa"/>
            <w:vAlign w:val="bottom"/>
          </w:tcPr>
          <w:p>
            <w:pPr>
              <w:jc w:val="right"/>
              <w:ind w:right="1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3,398,942</w:t>
            </w:r>
          </w:p>
        </w:tc>
        <w:tc>
          <w:tcPr>
            <w:tcW w:w="260" w:type="dxa"/>
            <w:vAlign w:val="bottom"/>
          </w:tcPr>
          <w:p>
            <w:pPr>
              <w:spacing w:after="0"/>
              <w:rPr>
                <w:sz w:val="15"/>
                <w:szCs w:val="15"/>
                <w:color w:val="auto"/>
              </w:rPr>
            </w:pP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7,050</w:t>
            </w:r>
          </w:p>
        </w:tc>
        <w:tc>
          <w:tcPr>
            <w:tcW w:w="36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1"/>
                <w:szCs w:val="11"/>
                <w:color w:val="auto"/>
              </w:rPr>
              <w:t xml:space="preserve">(449,867 </w:t>
            </w:r>
            <w:r>
              <w:rPr>
                <w:rFonts w:ascii="Times New Roman" w:cs="Times New Roman" w:eastAsia="Times New Roman" w:hAnsi="Times New Roman"/>
                <w:sz w:val="18"/>
                <w:szCs w:val="18"/>
                <w:color w:val="auto"/>
                <w:vertAlign w:val="subscript"/>
              </w:rPr>
              <w:t>)</w:t>
            </w:r>
          </w:p>
        </w:tc>
        <w:tc>
          <w:tcPr>
            <w:tcW w:w="1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2,956,125</w:t>
            </w:r>
          </w:p>
        </w:tc>
        <w:tc>
          <w:tcPr>
            <w:tcW w:w="150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1"/>
                <w:szCs w:val="11"/>
                <w:color w:val="auto"/>
              </w:rPr>
              <w:t xml:space="preserve">100.00 </w:t>
            </w:r>
            <w:r>
              <w:rPr>
                <w:rFonts w:ascii="Times New Roman" w:cs="Times New Roman" w:eastAsia="Times New Roman" w:hAnsi="Times New Roman"/>
                <w:sz w:val="18"/>
                <w:szCs w:val="18"/>
                <w:color w:val="auto"/>
                <w:vertAlign w:val="subscript"/>
              </w:rPr>
              <w:t>%</w:t>
            </w:r>
          </w:p>
        </w:tc>
      </w:tr>
      <w:tr>
        <w:trPr>
          <w:trHeight w:val="20"/>
        </w:trPr>
        <w:tc>
          <w:tcPr>
            <w:tcW w:w="3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38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3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80"/>
        </w:trPr>
        <w:tc>
          <w:tcPr>
            <w:tcW w:w="38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530,656</w:t>
            </w:r>
          </w:p>
        </w:tc>
        <w:tc>
          <w:tcPr>
            <w:tcW w:w="26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(97,972 )</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432,684</w:t>
            </w:r>
          </w:p>
        </w:tc>
        <w:tc>
          <w:tcPr>
            <w:tcW w:w="15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21.53 %</w:t>
            </w:r>
          </w:p>
        </w:tc>
      </w:tr>
      <w:tr>
        <w:trPr>
          <w:trHeight w:val="180"/>
        </w:trPr>
        <w:tc>
          <w:tcPr>
            <w:tcW w:w="38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663,090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(97,436 )</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565,654</w:t>
            </w:r>
          </w:p>
        </w:tc>
        <w:tc>
          <w:tcPr>
            <w:tcW w:w="150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26.90 %</w:t>
            </w:r>
          </w:p>
        </w:tc>
      </w:tr>
      <w:tr>
        <w:trPr>
          <w:trHeight w:val="180"/>
        </w:trPr>
        <w:tc>
          <w:tcPr>
            <w:tcW w:w="38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3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802,892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(156,155 )</w:t>
            </w: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646,737</w:t>
            </w:r>
          </w:p>
        </w:tc>
        <w:tc>
          <w:tcPr>
            <w:tcW w:w="15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32.58 %</w:t>
            </w:r>
          </w:p>
        </w:tc>
      </w:tr>
      <w:tr>
        <w:trPr>
          <w:trHeight w:val="180"/>
        </w:trPr>
        <w:tc>
          <w:tcPr>
            <w:tcW w:w="38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467,972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3,438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(33,604 )</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437,806</w:t>
            </w:r>
          </w:p>
        </w:tc>
        <w:tc>
          <w:tcPr>
            <w:tcW w:w="150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18.99 %</w:t>
            </w:r>
          </w:p>
        </w:tc>
      </w:tr>
      <w:tr>
        <w:trPr>
          <w:trHeight w:val="180"/>
        </w:trPr>
        <w:tc>
          <w:tcPr>
            <w:tcW w:w="3800" w:type="dxa"/>
            <w:vAlign w:val="bottom"/>
          </w:tcPr>
          <w:p>
            <w:pPr>
              <w:ind w:left="340"/>
              <w:spacing w:after="0" w:line="160" w:lineRule="exact"/>
              <w:rPr>
                <w:sz w:val="20"/>
                <w:szCs w:val="20"/>
                <w:color w:val="auto"/>
              </w:rPr>
            </w:pPr>
            <w:r>
              <w:rPr>
                <w:rFonts w:ascii="Times New Roman" w:cs="Times New Roman" w:eastAsia="Times New Roman" w:hAnsi="Times New Roman"/>
                <w:sz w:val="16"/>
                <w:szCs w:val="16"/>
                <w:color w:val="auto"/>
              </w:rPr>
              <w:t>Total held-to-maturity securities</w:t>
            </w:r>
          </w:p>
        </w:tc>
        <w:tc>
          <w:tcPr>
            <w:tcW w:w="300" w:type="dxa"/>
            <w:vAlign w:val="bottom"/>
          </w:tcPr>
          <w:p>
            <w:pPr>
              <w:jc w:val="right"/>
              <w:ind w:right="1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2,464,610</w:t>
            </w:r>
          </w:p>
        </w:tc>
        <w:tc>
          <w:tcPr>
            <w:tcW w:w="260" w:type="dxa"/>
            <w:vAlign w:val="bottom"/>
          </w:tcPr>
          <w:p>
            <w:pPr>
              <w:spacing w:after="0"/>
              <w:rPr>
                <w:sz w:val="15"/>
                <w:szCs w:val="15"/>
                <w:color w:val="auto"/>
              </w:rPr>
            </w:pP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3,438</w:t>
            </w:r>
          </w:p>
        </w:tc>
        <w:tc>
          <w:tcPr>
            <w:tcW w:w="36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1"/>
                <w:szCs w:val="11"/>
                <w:color w:val="auto"/>
              </w:rPr>
              <w:t xml:space="preserve">(385,167 </w:t>
            </w:r>
            <w:r>
              <w:rPr>
                <w:rFonts w:ascii="Times New Roman" w:cs="Times New Roman" w:eastAsia="Times New Roman" w:hAnsi="Times New Roman"/>
                <w:sz w:val="18"/>
                <w:szCs w:val="18"/>
                <w:color w:val="auto"/>
                <w:vertAlign w:val="subscript"/>
              </w:rPr>
              <w:t>)</w:t>
            </w:r>
          </w:p>
        </w:tc>
        <w:tc>
          <w:tcPr>
            <w:tcW w:w="1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2,082,881</w:t>
            </w:r>
          </w:p>
        </w:tc>
        <w:tc>
          <w:tcPr>
            <w:tcW w:w="150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1"/>
                <w:szCs w:val="11"/>
                <w:color w:val="auto"/>
              </w:rPr>
              <w:t xml:space="preserve">100.00 </w:t>
            </w:r>
            <w:r>
              <w:rPr>
                <w:rFonts w:ascii="Times New Roman" w:cs="Times New Roman" w:eastAsia="Times New Roman" w:hAnsi="Times New Roman"/>
                <w:sz w:val="18"/>
                <w:szCs w:val="18"/>
                <w:color w:val="auto"/>
                <w:vertAlign w:val="subscript"/>
              </w:rPr>
              <w:t>%</w:t>
            </w:r>
          </w:p>
        </w:tc>
      </w:tr>
      <w:tr>
        <w:trPr>
          <w:trHeight w:val="20"/>
        </w:trPr>
        <w:tc>
          <w:tcPr>
            <w:tcW w:w="3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02" w:name="page103"/>
    <w:bookmarkEnd w:id="102"/>
    <w:p>
      <w:pPr>
        <w:spacing w:after="0" w:line="259" w:lineRule="exact"/>
        <w:rPr>
          <w:sz w:val="20"/>
          <w:szCs w:val="20"/>
          <w:color w:val="auto"/>
        </w:rPr>
      </w:pPr>
    </w:p>
    <w:p>
      <w:pPr>
        <w:ind w:left="960" w:right="60"/>
        <w:spacing w:after="0" w:line="268" w:lineRule="auto"/>
        <w:rPr>
          <w:sz w:val="20"/>
          <w:szCs w:val="20"/>
          <w:color w:val="auto"/>
        </w:rPr>
      </w:pPr>
      <w:r>
        <w:rPr>
          <w:rFonts w:ascii="Times New Roman" w:cs="Times New Roman" w:eastAsia="Times New Roman" w:hAnsi="Times New Roman"/>
          <w:sz w:val="13"/>
          <w:szCs w:val="13"/>
          <w:color w:val="auto"/>
        </w:rPr>
        <w:t>(1)Represents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18 for additional information.</w:t>
      </w:r>
    </w:p>
    <w:p>
      <w:pPr>
        <w:spacing w:after="0" w:line="146" w:lineRule="exact"/>
        <w:rPr>
          <w:sz w:val="20"/>
          <w:szCs w:val="20"/>
          <w:color w:val="auto"/>
        </w:rPr>
      </w:pPr>
    </w:p>
    <w:p>
      <w:pPr>
        <w:ind w:right="40" w:firstLine="600"/>
        <w:spacing w:after="0" w:line="259" w:lineRule="auto"/>
        <w:rPr>
          <w:sz w:val="20"/>
          <w:szCs w:val="20"/>
          <w:color w:val="auto"/>
        </w:rPr>
      </w:pPr>
      <w:r>
        <w:rPr>
          <w:rFonts w:ascii="Times New Roman" w:cs="Times New Roman" w:eastAsia="Times New Roman" w:hAnsi="Times New Roman"/>
          <w:sz w:val="16"/>
          <w:szCs w:val="16"/>
          <w:color w:val="auto"/>
        </w:rPr>
        <w:t>The following table provides information about the amount of interest income earned on investment securities which is fully taxable and which is exempt from regular federal income tax.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4"/>
        </w:trPr>
        <w:tc>
          <w:tcPr>
            <w:tcW w:w="5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3"/>
                <w:szCs w:val="13"/>
                <w:color w:val="auto"/>
              </w:rPr>
            </w:pPr>
          </w:p>
        </w:tc>
      </w:tr>
      <w:tr>
        <w:trPr>
          <w:trHeight w:val="172"/>
        </w:trPr>
        <w:tc>
          <w:tcPr>
            <w:tcW w:w="5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5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53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Taxable</w:t>
            </w:r>
          </w:p>
        </w:tc>
        <w:tc>
          <w:tcPr>
            <w:tcW w:w="960" w:type="dxa"/>
            <w:vAlign w:val="bottom"/>
          </w:tcPr>
          <w:p>
            <w:pPr>
              <w:jc w:val="right"/>
              <w:ind w:right="80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80,226</w:t>
            </w:r>
          </w:p>
        </w:tc>
        <w:tc>
          <w:tcPr>
            <w:tcW w:w="26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82,889</w:t>
            </w:r>
          </w:p>
        </w:tc>
        <w:tc>
          <w:tcPr>
            <w:tcW w:w="280" w:type="dxa"/>
            <w:vAlign w:val="bottom"/>
          </w:tcPr>
          <w:p>
            <w:pPr>
              <w:spacing w:after="0"/>
              <w:rPr>
                <w:sz w:val="15"/>
                <w:szCs w:val="15"/>
                <w:color w:val="auto"/>
              </w:rPr>
            </w:pPr>
          </w:p>
        </w:tc>
        <w:tc>
          <w:tcPr>
            <w:tcW w:w="36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67,803</w:t>
            </w:r>
          </w:p>
        </w:tc>
        <w:tc>
          <w:tcPr>
            <w:tcW w:w="100" w:type="dxa"/>
            <w:vAlign w:val="bottom"/>
          </w:tcPr>
          <w:p>
            <w:pPr>
              <w:spacing w:after="0"/>
              <w:rPr>
                <w:sz w:val="15"/>
                <w:szCs w:val="15"/>
                <w:color w:val="auto"/>
              </w:rPr>
            </w:pPr>
          </w:p>
        </w:tc>
      </w:tr>
      <w:tr>
        <w:trPr>
          <w:trHeight w:val="180"/>
        </w:trPr>
        <w:tc>
          <w:tcPr>
            <w:tcW w:w="53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Tax-advantaged</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674</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FF0FC"/>
          </w:tcPr>
          <w:p>
            <w:pPr>
              <w:spacing w:after="0"/>
              <w:rPr>
                <w:sz w:val="15"/>
                <w:szCs w:val="15"/>
                <w:color w:val="auto"/>
              </w:rPr>
            </w:pPr>
          </w:p>
        </w:tc>
      </w:tr>
      <w:tr>
        <w:trPr>
          <w:trHeight w:val="180"/>
        </w:trPr>
        <w:tc>
          <w:tcPr>
            <w:tcW w:w="530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Total interest income from available-for-sale securities</w:t>
            </w:r>
          </w:p>
        </w:tc>
        <w:tc>
          <w:tcPr>
            <w:tcW w:w="9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80,890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83,563</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68,508</w:t>
            </w:r>
          </w:p>
        </w:tc>
        <w:tc>
          <w:tcPr>
            <w:tcW w:w="100" w:type="dxa"/>
            <w:vAlign w:val="bottom"/>
          </w:tcPr>
          <w:p>
            <w:pPr>
              <w:spacing w:after="0"/>
              <w:rPr>
                <w:sz w:val="15"/>
                <w:szCs w:val="15"/>
                <w:color w:val="auto"/>
              </w:rPr>
            </w:pPr>
          </w:p>
        </w:tc>
      </w:tr>
      <w:tr>
        <w:trPr>
          <w:trHeight w:val="180"/>
        </w:trPr>
        <w:tc>
          <w:tcPr>
            <w:tcW w:w="5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53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Taxable</w:t>
            </w:r>
          </w:p>
        </w:tc>
        <w:tc>
          <w:tcPr>
            <w:tcW w:w="9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43,574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44,990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41,403</w:t>
            </w:r>
          </w:p>
        </w:tc>
        <w:tc>
          <w:tcPr>
            <w:tcW w:w="100" w:type="dxa"/>
            <w:vAlign w:val="bottom"/>
          </w:tcPr>
          <w:p>
            <w:pPr>
              <w:spacing w:after="0"/>
              <w:rPr>
                <w:sz w:val="15"/>
                <w:szCs w:val="15"/>
                <w:color w:val="auto"/>
              </w:rPr>
            </w:pPr>
          </w:p>
        </w:tc>
      </w:tr>
      <w:tr>
        <w:trPr>
          <w:trHeight w:val="180"/>
        </w:trPr>
        <w:tc>
          <w:tcPr>
            <w:tcW w:w="53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Tax-advantaged</w:t>
            </w:r>
          </w:p>
        </w:tc>
        <w:tc>
          <w:tcPr>
            <w:tcW w:w="9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9,577</w:t>
            </w:r>
          </w:p>
        </w:tc>
        <w:tc>
          <w:tcPr>
            <w:tcW w:w="1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9,760</w:t>
            </w:r>
          </w:p>
        </w:tc>
        <w:tc>
          <w:tcPr>
            <w:tcW w:w="3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7,645</w:t>
            </w:r>
          </w:p>
        </w:tc>
      </w:tr>
      <w:tr>
        <w:trPr>
          <w:trHeight w:val="180"/>
        </w:trPr>
        <w:tc>
          <w:tcPr>
            <w:tcW w:w="530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Total interest income from held-to-maturity securities</w:t>
            </w:r>
          </w:p>
        </w:tc>
        <w:tc>
          <w:tcPr>
            <w:tcW w:w="9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53,151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54,750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49,048</w:t>
            </w:r>
          </w:p>
        </w:tc>
        <w:tc>
          <w:tcPr>
            <w:tcW w:w="100" w:type="dxa"/>
            <w:vAlign w:val="bottom"/>
          </w:tcPr>
          <w:p>
            <w:pPr>
              <w:spacing w:after="0"/>
              <w:rPr>
                <w:sz w:val="15"/>
                <w:szCs w:val="15"/>
                <w:color w:val="auto"/>
              </w:rPr>
            </w:pPr>
          </w:p>
        </w:tc>
      </w:tr>
      <w:tr>
        <w:trPr>
          <w:trHeight w:val="200"/>
        </w:trPr>
        <w:tc>
          <w:tcPr>
            <w:tcW w:w="5300" w:type="dxa"/>
            <w:vAlign w:val="bottom"/>
            <w:shd w:val="clear" w:color="auto" w:fill="CFF0FC"/>
          </w:tcPr>
          <w:p>
            <w:pPr>
              <w:ind w:left="500"/>
              <w:spacing w:after="0" w:line="180" w:lineRule="exact"/>
              <w:rPr>
                <w:sz w:val="20"/>
                <w:szCs w:val="20"/>
                <w:color w:val="auto"/>
              </w:rPr>
            </w:pPr>
            <w:r>
              <w:rPr>
                <w:rFonts w:ascii="Times New Roman" w:cs="Times New Roman" w:eastAsia="Times New Roman" w:hAnsi="Times New Roman"/>
                <w:sz w:val="16"/>
                <w:szCs w:val="16"/>
                <w:color w:val="auto"/>
              </w:rPr>
              <w:t>Total interest income from investment securities</w:t>
            </w:r>
          </w:p>
        </w:tc>
        <w:tc>
          <w:tcPr>
            <w:tcW w:w="960" w:type="dxa"/>
            <w:vAlign w:val="bottom"/>
            <w:shd w:val="clear" w:color="auto" w:fill="CFF0FC"/>
          </w:tcPr>
          <w:p>
            <w:pPr>
              <w:jc w:val="right"/>
              <w:ind w:right="80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134,041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138,313</w:t>
            </w:r>
          </w:p>
        </w:tc>
        <w:tc>
          <w:tcPr>
            <w:tcW w:w="3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117,556</w:t>
            </w: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right="40" w:firstLine="588"/>
        <w:spacing w:after="0" w:line="243" w:lineRule="auto"/>
        <w:rPr>
          <w:sz w:val="20"/>
          <w:szCs w:val="20"/>
          <w:color w:val="auto"/>
        </w:rPr>
      </w:pPr>
      <w:r>
        <w:rPr>
          <w:rFonts w:ascii="Times New Roman" w:cs="Times New Roman" w:eastAsia="Times New Roman" w:hAnsi="Times New Roman"/>
          <w:sz w:val="16"/>
          <w:szCs w:val="16"/>
          <w:color w:val="auto"/>
        </w:rPr>
        <w:t>Approximately 90% of the total investment securities portfolio at December 31, 2024 represents securities issued by the U.S. government or U.S. government-sponsored enterprises, with the implied guarantee of payment of principal and interest. The remaining securities are predominately AA or better general -obligation municipal bonds. The allowance for credit losses for held-to-maturity investment securities under the CECL model was zero at December 31, 2024 and December 31, 2023.</w:t>
      </w:r>
    </w:p>
    <w:p>
      <w:pPr>
        <w:spacing w:after="0" w:line="155"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Company’s available-for- sale and held-to-maturity investment securities, by investment category, in an unrealized loss position for which an allowance for credit losses has not been recorded as of December 31, 2024 and December 31,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5"/>
          </w:tcPr>
          <w:p>
            <w:pPr>
              <w:jc w:val="right"/>
              <w:ind w:right="780"/>
              <w:spacing w:after="0" w:line="180" w:lineRule="exact"/>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5"/>
                <w:szCs w:val="15"/>
                <w:color w:val="auto"/>
              </w:rPr>
            </w:pPr>
          </w:p>
        </w:tc>
        <w:tc>
          <w:tcPr>
            <w:tcW w:w="2380" w:type="dxa"/>
            <w:vAlign w:val="bottom"/>
            <w:gridSpan w:val="5"/>
          </w:tcPr>
          <w:p>
            <w:pPr>
              <w:jc w:val="right"/>
              <w:ind w:right="660"/>
              <w:spacing w:after="0" w:line="180" w:lineRule="exact"/>
              <w:rPr>
                <w:sz w:val="20"/>
                <w:szCs w:val="20"/>
                <w:color w:val="auto"/>
              </w:rPr>
            </w:pPr>
            <w:r>
              <w:rPr>
                <w:rFonts w:ascii="Times New Roman" w:cs="Times New Roman" w:eastAsia="Times New Roman" w:hAnsi="Times New Roman"/>
                <w:sz w:val="16"/>
                <w:szCs w:val="16"/>
                <w:b w:val="1"/>
                <w:bCs w:val="1"/>
                <w:color w:val="auto"/>
              </w:rPr>
              <w:t>12 Months or Longer</w:t>
            </w:r>
          </w:p>
        </w:tc>
        <w:tc>
          <w:tcPr>
            <w:tcW w:w="160" w:type="dxa"/>
            <w:vAlign w:val="bottom"/>
          </w:tcPr>
          <w:p>
            <w:pPr>
              <w:spacing w:after="0"/>
              <w:rPr>
                <w:sz w:val="15"/>
                <w:szCs w:val="15"/>
                <w:color w:val="auto"/>
              </w:rPr>
            </w:pPr>
          </w:p>
        </w:tc>
        <w:tc>
          <w:tcPr>
            <w:tcW w:w="12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r>
      <w:tr>
        <w:trPr>
          <w:trHeight w:val="180"/>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r>
      <w:tr>
        <w:trPr>
          <w:trHeight w:val="180"/>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Holding</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Holding</w:t>
            </w:r>
          </w:p>
        </w:tc>
      </w:tr>
      <w:tr>
        <w:trPr>
          <w:trHeight w:val="180"/>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480"/>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36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Holding Losses</w:t>
            </w:r>
          </w:p>
        </w:tc>
        <w:tc>
          <w:tcPr>
            <w:tcW w:w="160" w:type="dxa"/>
            <w:vAlign w:val="bottom"/>
          </w:tcPr>
          <w:p>
            <w:pPr>
              <w:spacing w:after="0"/>
              <w:rPr>
                <w:sz w:val="15"/>
                <w:szCs w:val="15"/>
                <w:color w:val="auto"/>
              </w:rPr>
            </w:pPr>
          </w:p>
        </w:tc>
        <w:tc>
          <w:tcPr>
            <w:tcW w:w="122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5"/>
                <w:szCs w:val="15"/>
                <w:color w:val="auto"/>
              </w:rPr>
            </w:pPr>
          </w:p>
        </w:tc>
        <w:tc>
          <w:tcPr>
            <w:tcW w:w="106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Pr>
          <w:p>
            <w:pPr>
              <w:spacing w:after="0"/>
              <w:rPr>
                <w:sz w:val="15"/>
                <w:szCs w:val="15"/>
                <w:color w:val="auto"/>
              </w:rPr>
            </w:pPr>
          </w:p>
        </w:tc>
        <w:tc>
          <w:tcPr>
            <w:tcW w:w="1200" w:type="dxa"/>
            <w:vAlign w:val="bottom"/>
            <w:gridSpan w:val="2"/>
          </w:tcPr>
          <w:p>
            <w:pPr>
              <w:jc w:val="right"/>
              <w:ind w:right="420"/>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5"/>
                <w:szCs w:val="15"/>
                <w:color w:val="auto"/>
              </w:rPr>
            </w:pPr>
          </w:p>
        </w:tc>
        <w:tc>
          <w:tcPr>
            <w:tcW w:w="90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Losses</w:t>
            </w:r>
          </w:p>
        </w:tc>
      </w:tr>
      <w:tr>
        <w:trPr>
          <w:trHeight w:val="195"/>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8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1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204,428</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(700)</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1,757,066</w:t>
            </w:r>
          </w:p>
        </w:tc>
        <w:tc>
          <w:tcPr>
            <w:tcW w:w="22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(325,677)</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1,961,494</w:t>
            </w:r>
          </w:p>
        </w:tc>
        <w:tc>
          <w:tcPr>
            <w:tcW w:w="200" w:type="dxa"/>
            <w:vAlign w:val="bottom"/>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(326,377)</w:t>
            </w:r>
          </w:p>
        </w:tc>
      </w:tr>
      <w:tr>
        <w:trPr>
          <w:trHeight w:val="180"/>
        </w:trPr>
        <w:tc>
          <w:tcPr>
            <w:tcW w:w="28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351,521</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(120,399)</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351,522</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(120,399)</w:t>
            </w:r>
          </w:p>
        </w:tc>
      </w:tr>
      <w:tr>
        <w:trPr>
          <w:trHeight w:val="180"/>
        </w:trPr>
        <w:tc>
          <w:tcPr>
            <w:tcW w:w="28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180" w:type="dxa"/>
            <w:vAlign w:val="bottom"/>
          </w:tcPr>
          <w:p>
            <w:pPr>
              <w:spacing w:after="0"/>
              <w:rPr>
                <w:sz w:val="15"/>
                <w:szCs w:val="15"/>
                <w:color w:val="auto"/>
              </w:rPr>
            </w:pPr>
          </w:p>
        </w:tc>
        <w:tc>
          <w:tcPr>
            <w:tcW w:w="12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3,215</w:t>
            </w:r>
          </w:p>
        </w:tc>
        <w:tc>
          <w:tcPr>
            <w:tcW w:w="140" w:type="dxa"/>
            <w:vAlign w:val="bottom"/>
          </w:tcPr>
          <w:p>
            <w:pPr>
              <w:spacing w:after="0"/>
              <w:rPr>
                <w:sz w:val="15"/>
                <w:szCs w:val="15"/>
                <w:color w:val="auto"/>
              </w:rPr>
            </w:pPr>
          </w:p>
        </w:tc>
        <w:tc>
          <w:tcPr>
            <w:tcW w:w="12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1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16,262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(1,250)</w:t>
            </w:r>
          </w:p>
        </w:tc>
        <w:tc>
          <w:tcPr>
            <w:tcW w:w="1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19,477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(1,405)</w:t>
            </w:r>
          </w:p>
        </w:tc>
      </w:tr>
      <w:tr>
        <w:trPr>
          <w:trHeight w:val="220"/>
        </w:trPr>
        <w:tc>
          <w:tcPr>
            <w:tcW w:w="2860" w:type="dxa"/>
            <w:vAlign w:val="bottom"/>
            <w:shd w:val="clear" w:color="auto" w:fill="CFF0FC"/>
          </w:tcPr>
          <w:p>
            <w:pPr>
              <w:ind w:left="340"/>
              <w:spacing w:after="0" w:line="16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180" w:type="dxa"/>
            <w:vAlign w:val="bottom"/>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207,644</w:t>
            </w:r>
          </w:p>
        </w:tc>
        <w:tc>
          <w:tcPr>
            <w:tcW w:w="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 xml:space="preserve">(855 </w:t>
            </w:r>
            <w:r>
              <w:rPr>
                <w:rFonts w:ascii="Times New Roman" w:cs="Times New Roman" w:eastAsia="Times New Roman" w:hAnsi="Times New Roman"/>
                <w:sz w:val="18"/>
                <w:szCs w:val="18"/>
                <w:color w:val="auto"/>
                <w:vertAlign w:val="subscript"/>
              </w:rPr>
              <w:t>)</w:t>
            </w:r>
          </w:p>
        </w:tc>
        <w:tc>
          <w:tcPr>
            <w:tcW w:w="1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2,124,849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(447,326</w:t>
            </w:r>
            <w:r>
              <w:rPr>
                <w:rFonts w:ascii="Times New Roman" w:cs="Times New Roman" w:eastAsia="Times New Roman" w:hAnsi="Times New Roman"/>
                <w:sz w:val="18"/>
                <w:szCs w:val="18"/>
                <w:color w:val="auto"/>
                <w:vertAlign w:val="subscript"/>
              </w:rPr>
              <w:t>)</w:t>
            </w:r>
          </w:p>
        </w:tc>
        <w:tc>
          <w:tcPr>
            <w:tcW w:w="1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2,332,493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(448,181</w:t>
            </w:r>
            <w:r>
              <w:rPr>
                <w:rFonts w:ascii="Times New Roman" w:cs="Times New Roman" w:eastAsia="Times New Roman" w:hAnsi="Times New Roman"/>
                <w:sz w:val="18"/>
                <w:szCs w:val="18"/>
                <w:color w:val="auto"/>
                <w:vertAlign w:val="subscript"/>
              </w:rPr>
              <w:t>)</w:t>
            </w:r>
          </w:p>
        </w:tc>
      </w:tr>
      <w:tr>
        <w:trPr>
          <w:trHeight w:val="156"/>
        </w:trPr>
        <w:tc>
          <w:tcPr>
            <w:tcW w:w="286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80"/>
        </w:trPr>
        <w:tc>
          <w:tcPr>
            <w:tcW w:w="28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1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408,257</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(106,315)</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408,257</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(106,315)</w:t>
            </w:r>
          </w:p>
        </w:tc>
      </w:tr>
      <w:tr>
        <w:trPr>
          <w:trHeight w:val="180"/>
        </w:trPr>
        <w:tc>
          <w:tcPr>
            <w:tcW w:w="28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180" w:type="dxa"/>
            <w:vAlign w:val="bottom"/>
          </w:tcPr>
          <w:p>
            <w:pPr>
              <w:spacing w:after="0"/>
              <w:rPr>
                <w:sz w:val="15"/>
                <w:szCs w:val="15"/>
                <w:color w:val="auto"/>
              </w:rPr>
            </w:pPr>
          </w:p>
        </w:tc>
        <w:tc>
          <w:tcPr>
            <w:tcW w:w="12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2,072</w:t>
            </w:r>
          </w:p>
        </w:tc>
        <w:tc>
          <w:tcPr>
            <w:tcW w:w="140" w:type="dxa"/>
            <w:vAlign w:val="bottom"/>
          </w:tcPr>
          <w:p>
            <w:pPr>
              <w:spacing w:after="0"/>
              <w:rPr>
                <w:sz w:val="15"/>
                <w:szCs w:val="15"/>
                <w:color w:val="auto"/>
              </w:rPr>
            </w:pPr>
          </w:p>
        </w:tc>
        <w:tc>
          <w:tcPr>
            <w:tcW w:w="12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15"/>
                <w:szCs w:val="15"/>
                <w:color w:val="auto"/>
              </w:rPr>
            </w:pPr>
          </w:p>
        </w:tc>
        <w:tc>
          <w:tcPr>
            <w:tcW w:w="12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502,292</w:t>
            </w:r>
          </w:p>
        </w:tc>
        <w:tc>
          <w:tcPr>
            <w:tcW w:w="10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(109,978)</w:t>
            </w:r>
          </w:p>
        </w:tc>
        <w:tc>
          <w:tcPr>
            <w:tcW w:w="160" w:type="dxa"/>
            <w:vAlign w:val="bottom"/>
          </w:tcPr>
          <w:p>
            <w:pPr>
              <w:spacing w:after="0"/>
              <w:rPr>
                <w:sz w:val="15"/>
                <w:szCs w:val="15"/>
                <w:color w:val="auto"/>
              </w:rPr>
            </w:pPr>
          </w:p>
        </w:tc>
        <w:tc>
          <w:tcPr>
            <w:tcW w:w="12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504,364</w:t>
            </w:r>
          </w:p>
        </w:tc>
        <w:tc>
          <w:tcPr>
            <w:tcW w:w="80" w:type="dxa"/>
            <w:vAlign w:val="bottom"/>
          </w:tcPr>
          <w:p>
            <w:pPr>
              <w:spacing w:after="0"/>
              <w:rPr>
                <w:sz w:val="15"/>
                <w:szCs w:val="15"/>
                <w:color w:val="auto"/>
              </w:rPr>
            </w:pPr>
          </w:p>
        </w:tc>
        <w:tc>
          <w:tcPr>
            <w:tcW w:w="9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(110,020)</w:t>
            </w:r>
          </w:p>
        </w:tc>
      </w:tr>
      <w:tr>
        <w:trPr>
          <w:trHeight w:val="180"/>
        </w:trPr>
        <w:tc>
          <w:tcPr>
            <w:tcW w:w="28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613,937</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(170,121)</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613,937</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(170,121)</w:t>
            </w:r>
          </w:p>
        </w:tc>
      </w:tr>
      <w:tr>
        <w:trPr>
          <w:trHeight w:val="180"/>
        </w:trPr>
        <w:tc>
          <w:tcPr>
            <w:tcW w:w="28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1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63,668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(1,067)</w:t>
            </w:r>
          </w:p>
        </w:tc>
        <w:tc>
          <w:tcPr>
            <w:tcW w:w="160" w:type="dxa"/>
            <w:vAlign w:val="bottom"/>
          </w:tcPr>
          <w:p>
            <w:pPr>
              <w:spacing w:after="0"/>
              <w:rPr>
                <w:sz w:val="15"/>
                <w:szCs w:val="15"/>
                <w:color w:val="auto"/>
              </w:rPr>
            </w:pPr>
          </w:p>
        </w:tc>
        <w:tc>
          <w:tcPr>
            <w:tcW w:w="12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286,868</w:t>
            </w:r>
          </w:p>
        </w:tc>
        <w:tc>
          <w:tcPr>
            <w:tcW w:w="10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(38,958)</w:t>
            </w:r>
          </w:p>
        </w:tc>
        <w:tc>
          <w:tcPr>
            <w:tcW w:w="160" w:type="dxa"/>
            <w:vAlign w:val="bottom"/>
          </w:tcPr>
          <w:p>
            <w:pPr>
              <w:spacing w:after="0"/>
              <w:rPr>
                <w:sz w:val="15"/>
                <w:szCs w:val="15"/>
                <w:color w:val="auto"/>
              </w:rPr>
            </w:pPr>
          </w:p>
        </w:tc>
        <w:tc>
          <w:tcPr>
            <w:tcW w:w="12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350,536</w:t>
            </w:r>
          </w:p>
        </w:tc>
        <w:tc>
          <w:tcPr>
            <w:tcW w:w="80" w:type="dxa"/>
            <w:vAlign w:val="bottom"/>
          </w:tcPr>
          <w:p>
            <w:pPr>
              <w:spacing w:after="0"/>
              <w:rPr>
                <w:sz w:val="15"/>
                <w:szCs w:val="15"/>
                <w:color w:val="auto"/>
              </w:rPr>
            </w:pPr>
          </w:p>
        </w:tc>
        <w:tc>
          <w:tcPr>
            <w:tcW w:w="9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(40,025)</w:t>
            </w:r>
          </w:p>
        </w:tc>
      </w:tr>
      <w:tr>
        <w:trPr>
          <w:trHeight w:val="220"/>
        </w:trPr>
        <w:tc>
          <w:tcPr>
            <w:tcW w:w="2860" w:type="dxa"/>
            <w:vAlign w:val="bottom"/>
            <w:shd w:val="clear" w:color="auto" w:fill="CFF0FC"/>
          </w:tcPr>
          <w:p>
            <w:pPr>
              <w:ind w:left="340"/>
              <w:spacing w:after="0" w:line="160" w:lineRule="exact"/>
              <w:rPr>
                <w:sz w:val="20"/>
                <w:szCs w:val="20"/>
                <w:color w:val="auto"/>
              </w:rPr>
            </w:pPr>
            <w:r>
              <w:rPr>
                <w:rFonts w:ascii="Times New Roman" w:cs="Times New Roman" w:eastAsia="Times New Roman" w:hAnsi="Times New Roman"/>
                <w:sz w:val="16"/>
                <w:szCs w:val="16"/>
                <w:color w:val="auto"/>
              </w:rPr>
              <w:t>Total held-to-maturity securities</w:t>
            </w:r>
          </w:p>
        </w:tc>
        <w:tc>
          <w:tcPr>
            <w:tcW w:w="180" w:type="dxa"/>
            <w:vAlign w:val="bottom"/>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65,740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(1,109</w:t>
            </w:r>
            <w:r>
              <w:rPr>
                <w:rFonts w:ascii="Times New Roman" w:cs="Times New Roman" w:eastAsia="Times New Roman" w:hAnsi="Times New Roman"/>
                <w:sz w:val="18"/>
                <w:szCs w:val="18"/>
                <w:color w:val="auto"/>
                <w:vertAlign w:val="subscript"/>
              </w:rPr>
              <w:t>)</w:t>
            </w:r>
          </w:p>
        </w:tc>
        <w:tc>
          <w:tcPr>
            <w:tcW w:w="1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1,811,354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(425,372</w:t>
            </w:r>
            <w:r>
              <w:rPr>
                <w:rFonts w:ascii="Times New Roman" w:cs="Times New Roman" w:eastAsia="Times New Roman" w:hAnsi="Times New Roman"/>
                <w:sz w:val="18"/>
                <w:szCs w:val="18"/>
                <w:color w:val="auto"/>
                <w:vertAlign w:val="subscript"/>
              </w:rPr>
              <w:t>)</w:t>
            </w:r>
          </w:p>
        </w:tc>
        <w:tc>
          <w:tcPr>
            <w:tcW w:w="1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1,877,094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(426,481</w:t>
            </w:r>
            <w:r>
              <w:rPr>
                <w:rFonts w:ascii="Times New Roman" w:cs="Times New Roman" w:eastAsia="Times New Roman" w:hAnsi="Times New Roman"/>
                <w:sz w:val="18"/>
                <w:szCs w:val="18"/>
                <w:color w:val="auto"/>
                <w:vertAlign w:val="subscript"/>
              </w:rPr>
              <w:t>)</w:t>
            </w:r>
          </w:p>
        </w:tc>
      </w:tr>
      <w:tr>
        <w:trPr>
          <w:trHeight w:val="442"/>
        </w:trPr>
        <w:tc>
          <w:tcPr>
            <w:tcW w:w="28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782"/>
        </w:trPr>
        <w:tc>
          <w:tcPr>
            <w:tcW w:w="28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3" w:name="page104"/>
    <w:bookmarkEnd w:id="103"/>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 w:type="dxa"/>
            <w:vAlign w:val="bottom"/>
          </w:tcPr>
          <w:p>
            <w:pPr>
              <w:spacing w:after="0"/>
              <w:rPr>
                <w:sz w:val="17"/>
                <w:szCs w:val="17"/>
                <w:color w:val="auto"/>
              </w:rPr>
            </w:pPr>
          </w:p>
        </w:tc>
        <w:tc>
          <w:tcPr>
            <w:tcW w:w="240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620"/>
              <w:spacing w:after="0" w:line="180" w:lineRule="exact"/>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00"/>
              <w:spacing w:after="0" w:line="180" w:lineRule="exact"/>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180"/>
        </w:trPr>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460"/>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Holding</w:t>
            </w:r>
          </w:p>
        </w:tc>
        <w:tc>
          <w:tcPr>
            <w:tcW w:w="0" w:type="dxa"/>
            <w:vAlign w:val="bottom"/>
          </w:tcPr>
          <w:p>
            <w:pPr>
              <w:spacing w:after="0"/>
              <w:rPr>
                <w:sz w:val="1"/>
                <w:szCs w:val="1"/>
                <w:color w:val="auto"/>
              </w:rPr>
            </w:pPr>
          </w:p>
        </w:tc>
      </w:tr>
      <w:tr>
        <w:trPr>
          <w:trHeight w:val="193"/>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2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100" w:type="dxa"/>
            <w:vAlign w:val="bottom"/>
          </w:tcPr>
          <w:p>
            <w:pPr>
              <w:spacing w:after="0"/>
              <w:rPr>
                <w:sz w:val="16"/>
                <w:szCs w:val="16"/>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100" w:type="dxa"/>
            <w:vAlign w:val="bottom"/>
          </w:tcPr>
          <w:p>
            <w:pPr>
              <w:spacing w:after="0"/>
              <w:rPr>
                <w:sz w:val="16"/>
                <w:szCs w:val="16"/>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ind w:lef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2,506,162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(336,107 )</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2,506,210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(336,107 )</w:t>
            </w:r>
          </w:p>
        </w:tc>
        <w:tc>
          <w:tcPr>
            <w:tcW w:w="0" w:type="dxa"/>
            <w:vAlign w:val="bottom"/>
          </w:tcPr>
          <w:p>
            <w:pPr>
              <w:spacing w:after="0"/>
              <w:rPr>
                <w:sz w:val="1"/>
                <w:szCs w:val="1"/>
                <w:color w:val="auto"/>
              </w:rPr>
            </w:pPr>
          </w:p>
        </w:tc>
      </w:tr>
      <w:tr>
        <w:trPr>
          <w:trHeight w:val="180"/>
        </w:trPr>
        <w:tc>
          <w:tcPr>
            <w:tcW w:w="3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389,359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(112,872 )</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389,359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(112,872 )</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3,286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18,105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(871 )</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21,391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(888 )</w:t>
            </w:r>
          </w:p>
        </w:tc>
        <w:tc>
          <w:tcPr>
            <w:tcW w:w="0" w:type="dxa"/>
            <w:vAlign w:val="bottom"/>
          </w:tcPr>
          <w:p>
            <w:pPr>
              <w:spacing w:after="0"/>
              <w:rPr>
                <w:sz w:val="1"/>
                <w:szCs w:val="1"/>
                <w:color w:val="auto"/>
              </w:rPr>
            </w:pPr>
          </w:p>
        </w:tc>
      </w:tr>
      <w:tr>
        <w:trPr>
          <w:trHeight w:val="180"/>
        </w:trPr>
        <w:tc>
          <w:tcPr>
            <w:tcW w:w="3260" w:type="dxa"/>
            <w:vAlign w:val="bottom"/>
          </w:tcPr>
          <w:p>
            <w:pPr>
              <w:ind w:left="340"/>
              <w:spacing w:after="0" w:line="16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3,334</w:t>
            </w:r>
          </w:p>
        </w:tc>
        <w:tc>
          <w:tcPr>
            <w:tcW w:w="34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1"/>
                <w:szCs w:val="11"/>
                <w:color w:val="auto"/>
              </w:rPr>
              <w:t xml:space="preserve">(17 </w:t>
            </w:r>
            <w:r>
              <w:rPr>
                <w:rFonts w:ascii="Times New Roman" w:cs="Times New Roman" w:eastAsia="Times New Roman" w:hAnsi="Times New Roman"/>
                <w:sz w:val="18"/>
                <w:szCs w:val="18"/>
                <w:color w:val="auto"/>
                <w:vertAlign w:val="subscript"/>
              </w:rPr>
              <w:t>)</w:t>
            </w: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2,913,626</w:t>
            </w:r>
          </w:p>
        </w:tc>
        <w:tc>
          <w:tcPr>
            <w:tcW w:w="32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1"/>
                <w:szCs w:val="11"/>
                <w:color w:val="auto"/>
              </w:rPr>
              <w:t xml:space="preserve">(449,850 </w:t>
            </w:r>
            <w:r>
              <w:rPr>
                <w:rFonts w:ascii="Times New Roman" w:cs="Times New Roman" w:eastAsia="Times New Roman" w:hAnsi="Times New Roman"/>
                <w:sz w:val="18"/>
                <w:szCs w:val="18"/>
                <w:color w:val="auto"/>
                <w:vertAlign w:val="subscript"/>
              </w:rPr>
              <w:t>)</w:t>
            </w: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2,916,960</w:t>
            </w:r>
          </w:p>
        </w:tc>
        <w:tc>
          <w:tcPr>
            <w:tcW w:w="30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 xml:space="preserve">(449,867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ind w:lef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432,684</w:t>
            </w:r>
          </w:p>
        </w:tc>
        <w:tc>
          <w:tcPr>
            <w:tcW w:w="3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(97,972 )</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432,684</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(97,972 )</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565,655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(97,436 )</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565,655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(97,436 )</w:t>
            </w:r>
          </w:p>
        </w:tc>
        <w:tc>
          <w:tcPr>
            <w:tcW w:w="0" w:type="dxa"/>
            <w:vAlign w:val="bottom"/>
          </w:tcPr>
          <w:p>
            <w:pPr>
              <w:spacing w:after="0"/>
              <w:rPr>
                <w:sz w:val="1"/>
                <w:szCs w:val="1"/>
                <w:color w:val="auto"/>
              </w:rPr>
            </w:pPr>
          </w:p>
        </w:tc>
      </w:tr>
      <w:tr>
        <w:trPr>
          <w:trHeight w:val="180"/>
        </w:trPr>
        <w:tc>
          <w:tcPr>
            <w:tcW w:w="3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646,737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(156,155 )</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646,737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(156,155 )</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20,609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(200 )</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293,467</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(33,404 )</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314,076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(33,604 )</w:t>
            </w:r>
          </w:p>
        </w:tc>
        <w:tc>
          <w:tcPr>
            <w:tcW w:w="0" w:type="dxa"/>
            <w:vAlign w:val="bottom"/>
          </w:tcPr>
          <w:p>
            <w:pPr>
              <w:spacing w:after="0"/>
              <w:rPr>
                <w:sz w:val="1"/>
                <w:szCs w:val="1"/>
                <w:color w:val="auto"/>
              </w:rPr>
            </w:pPr>
          </w:p>
        </w:tc>
      </w:tr>
      <w:tr>
        <w:trPr>
          <w:trHeight w:val="180"/>
        </w:trPr>
        <w:tc>
          <w:tcPr>
            <w:tcW w:w="3260" w:type="dxa"/>
            <w:vAlign w:val="bottom"/>
          </w:tcPr>
          <w:p>
            <w:pPr>
              <w:ind w:left="340"/>
              <w:spacing w:after="0" w:line="160" w:lineRule="exact"/>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20,609</w:t>
            </w:r>
          </w:p>
        </w:tc>
        <w:tc>
          <w:tcPr>
            <w:tcW w:w="34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1"/>
                <w:szCs w:val="11"/>
                <w:color w:val="auto"/>
              </w:rPr>
              <w:t xml:space="preserve">(200 </w:t>
            </w:r>
            <w:r>
              <w:rPr>
                <w:rFonts w:ascii="Times New Roman" w:cs="Times New Roman" w:eastAsia="Times New Roman" w:hAnsi="Times New Roman"/>
                <w:sz w:val="18"/>
                <w:szCs w:val="18"/>
                <w:color w:val="auto"/>
                <w:vertAlign w:val="subscript"/>
              </w:rPr>
              <w:t>)</w:t>
            </w: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1,938,543</w:t>
            </w:r>
          </w:p>
        </w:tc>
        <w:tc>
          <w:tcPr>
            <w:tcW w:w="32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1"/>
                <w:szCs w:val="11"/>
                <w:color w:val="auto"/>
              </w:rPr>
              <w:t xml:space="preserve">(384,967 </w:t>
            </w:r>
            <w:r>
              <w:rPr>
                <w:rFonts w:ascii="Times New Roman" w:cs="Times New Roman" w:eastAsia="Times New Roman" w:hAnsi="Times New Roman"/>
                <w:sz w:val="18"/>
                <w:szCs w:val="18"/>
                <w:color w:val="auto"/>
                <w:vertAlign w:val="subscript"/>
              </w:rPr>
              <w:t>)</w:t>
            </w: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1,959,152</w:t>
            </w:r>
          </w:p>
        </w:tc>
        <w:tc>
          <w:tcPr>
            <w:tcW w:w="30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 xml:space="preserve">(385,167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summarizes our analysis of these securities and the unrealized losses.</w:t>
      </w:r>
    </w:p>
    <w:p>
      <w:pPr>
        <w:spacing w:after="0" w:line="152" w:lineRule="exact"/>
        <w:rPr>
          <w:sz w:val="20"/>
          <w:szCs w:val="20"/>
          <w:color w:val="auto"/>
        </w:rPr>
      </w:pPr>
    </w:p>
    <w:p>
      <w:pPr>
        <w:ind w:right="140" w:firstLine="588"/>
        <w:spacing w:after="0" w:line="239" w:lineRule="auto"/>
        <w:rPr>
          <w:sz w:val="20"/>
          <w:szCs w:val="20"/>
          <w:color w:val="auto"/>
        </w:rPr>
      </w:pPr>
      <w:r>
        <w:rPr>
          <w:rFonts w:ascii="Times New Roman" w:cs="Times New Roman" w:eastAsia="Times New Roman" w:hAnsi="Times New Roman"/>
          <w:sz w:val="16"/>
          <w:szCs w:val="16"/>
          <w:color w:val="auto"/>
        </w:rPr>
        <w:t>Government Agency &amp; Government-Sponsored Enterprise — The government agency bonds are backed by the full faith and credit of agencies of the U.S. Government. While the Government- Sponsored Enterprise bonds are not expressly guaranteed by the U.S. Government, they are currently being supported by the U.S. Government under a conservatorship arrangement. These securities are bullet securities, that is, they have a defined maturity date on which the principal is paid. The contractual term of these investments provides that the Company will receive the face value of the bond at maturity which will equal the amortized cost of the bond. Interest is received throughout the life of the security. Accordingly, it is expected that the securities would not be settled at a price less than the amortized cost of the bonds.</w:t>
      </w:r>
    </w:p>
    <w:p>
      <w:pPr>
        <w:spacing w:after="0" w:line="125" w:lineRule="exact"/>
        <w:rPr>
          <w:sz w:val="20"/>
          <w:szCs w:val="20"/>
          <w:color w:val="auto"/>
        </w:rPr>
      </w:pPr>
    </w:p>
    <w:p>
      <w:pPr>
        <w:ind w:right="80" w:firstLine="588"/>
        <w:spacing w:after="0" w:line="239" w:lineRule="auto"/>
        <w:rPr>
          <w:sz w:val="20"/>
          <w:szCs w:val="20"/>
          <w:color w:val="auto"/>
        </w:rPr>
      </w:pPr>
      <w:r>
        <w:rPr>
          <w:rFonts w:ascii="Times New Roman" w:cs="Times New Roman" w:eastAsia="Times New Roman" w:hAnsi="Times New Roman"/>
          <w:sz w:val="16"/>
          <w:szCs w:val="16"/>
          <w:color w:val="auto"/>
        </w:rPr>
        <w:t>Mortgage-Backed Securities (“MBS”) and CMO/REMIC — Most of the Company’s mortgage-backed and CMO/REMIC securities are issued by Government Agencies or Government- Sponsored Enterprises such as Ginnie Mae, Fannie Mae and Freddie Mac. These securities are collateralized or backed by the underlying residential or commercial mortgages. All mortgage-backed securities are considered to be rated investment grade with a weighted average life of approximately 7.5 years. Of the total MBS/CMO, 100% have the implied guarantee of U.S. Government-Sponsored Agencies and Enterprises. Accordingly, it is expected that the securities would not be settled at a price less than the amortized cost of the bonds. There were no credit-related impairments for the year ended December 31, 2024 and 2023.</w:t>
      </w:r>
    </w:p>
    <w:p>
      <w:pPr>
        <w:spacing w:after="0" w:line="137" w:lineRule="exact"/>
        <w:rPr>
          <w:sz w:val="20"/>
          <w:szCs w:val="20"/>
          <w:color w:val="auto"/>
        </w:rPr>
      </w:pPr>
    </w:p>
    <w:p>
      <w:pPr>
        <w:jc w:val="both"/>
        <w:ind w:firstLine="588"/>
        <w:spacing w:after="0" w:line="289" w:lineRule="auto"/>
        <w:rPr>
          <w:sz w:val="20"/>
          <w:szCs w:val="20"/>
          <w:color w:val="auto"/>
        </w:rPr>
      </w:pPr>
      <w:r>
        <w:rPr>
          <w:rFonts w:ascii="Times New Roman" w:cs="Times New Roman" w:eastAsia="Times New Roman" w:hAnsi="Times New Roman"/>
          <w:sz w:val="14"/>
          <w:szCs w:val="14"/>
          <w:color w:val="auto"/>
        </w:rPr>
        <w:t>Municipal Bonds — The majority of the Company’s municipal bonds, with maturities of approximately 12.0 years, represented approximately 9.7% of the total investment portfolio and are predominately AA or higher rated securities. The Company diversifies its holdings by owning selections of securities from different issuers and by holding securities from geographically diversified municipal issuers, thus reducing the Company’s exposure to any single adverse event. The decline in fair value is primarily due to the changes in interest rates. There were no credit-related impairments for the years ended December 31, 2024 and December 31, 2023.</w:t>
      </w:r>
    </w:p>
    <w:p>
      <w:pPr>
        <w:spacing w:after="0" w:line="101" w:lineRule="exact"/>
        <w:rPr>
          <w:sz w:val="20"/>
          <w:szCs w:val="20"/>
          <w:color w:val="auto"/>
        </w:rPr>
      </w:pPr>
    </w:p>
    <w:p>
      <w:pPr>
        <w:jc w:val="both"/>
        <w:ind w:right="100" w:firstLine="588"/>
        <w:spacing w:after="0" w:line="247" w:lineRule="auto"/>
        <w:rPr>
          <w:sz w:val="20"/>
          <w:szCs w:val="20"/>
          <w:color w:val="auto"/>
        </w:rPr>
      </w:pPr>
      <w:r>
        <w:rPr>
          <w:rFonts w:ascii="Times New Roman" w:cs="Times New Roman" w:eastAsia="Times New Roman" w:hAnsi="Times New Roman"/>
          <w:sz w:val="16"/>
          <w:szCs w:val="16"/>
          <w:color w:val="auto"/>
        </w:rPr>
        <w:t>At December 31, 2024, investment securities with carrying values of $ 2.79 billion were pledged to secure various types of deposits, including $1.18 billion of public funds, $315 million for repurchase agreements, and for other purposes as required or permitted by law. In addition, investment securities with carrying values of $1.63 billion were pledged for unused borrowing capacity.</w:t>
      </w:r>
    </w:p>
    <w:p>
      <w:pPr>
        <w:spacing w:after="0" w:line="128" w:lineRule="exact"/>
        <w:rPr>
          <w:sz w:val="20"/>
          <w:szCs w:val="20"/>
          <w:color w:val="auto"/>
        </w:rPr>
      </w:pPr>
    </w:p>
    <w:p>
      <w:pPr>
        <w:jc w:val="both"/>
        <w:ind w:right="120" w:firstLine="588"/>
        <w:spacing w:after="0" w:line="299" w:lineRule="auto"/>
        <w:rPr>
          <w:sz w:val="20"/>
          <w:szCs w:val="20"/>
          <w:color w:val="auto"/>
        </w:rPr>
      </w:pPr>
      <w:r>
        <w:rPr>
          <w:rFonts w:ascii="Times New Roman" w:cs="Times New Roman" w:eastAsia="Times New Roman" w:hAnsi="Times New Roman"/>
          <w:sz w:val="14"/>
          <w:szCs w:val="14"/>
          <w:color w:val="auto"/>
        </w:rPr>
        <w:t>At December 31, 2023, investment securities with carrying values of $2.26 billion were pledged to secure various types of deposits, including $1.38 billion of public funds. In addition, investment securities, with carrying values of $3.02 billion were pledged to secure $ 372.5 million for repurchase agreements, $1.8 billion for outstanding borrowings, $796 million for unused borrowing capacity and approximately $51 million for other purposes as required or permitted by law.</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4" w:name="page105"/>
    <w:bookmarkEnd w:id="104"/>
    <w:p>
      <w:pPr>
        <w:spacing w:after="0" w:line="137" w:lineRule="exact"/>
        <w:rPr>
          <w:sz w:val="20"/>
          <w:szCs w:val="20"/>
          <w:color w:val="auto"/>
        </w:rPr>
      </w:pPr>
    </w:p>
    <w:p>
      <w:pPr>
        <w:ind w:left="30" w:right="160" w:firstLine="588"/>
        <w:spacing w:after="0" w:line="243" w:lineRule="auto"/>
        <w:rPr>
          <w:sz w:val="20"/>
          <w:szCs w:val="20"/>
          <w:color w:val="auto"/>
        </w:rPr>
      </w:pPr>
      <w:r>
        <w:rPr>
          <w:rFonts w:ascii="Times New Roman" w:cs="Times New Roman" w:eastAsia="Times New Roman" w:hAnsi="Times New Roman"/>
          <w:sz w:val="16"/>
          <w:szCs w:val="16"/>
          <w:color w:val="auto"/>
        </w:rPr>
        <w:t>The amortized cost and fair value of debt securities at December 31, 2024, by contractual maturity, are shown in the table below. Although mortgage-backed and CMO/REMIC securities have weighted average remaining contractual maturities of approximately 25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pacing w:after="0" w:line="173" w:lineRule="exact"/>
        <w:rPr>
          <w:sz w:val="20"/>
          <w:szCs w:val="20"/>
          <w:color w:val="auto"/>
        </w:rPr>
      </w:pPr>
    </w:p>
    <w:tbl>
      <w:tblPr>
        <w:tblLayout w:type="fixed"/>
        <w:tblInd w:w="3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0"/>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5"/>
          </w:tcPr>
          <w:p>
            <w:pPr>
              <w:jc w:val="right"/>
              <w:ind w:right="960"/>
              <w:spacing w:after="0" w:line="180" w:lineRule="exact"/>
              <w:rPr>
                <w:sz w:val="20"/>
                <w:szCs w:val="20"/>
                <w:color w:val="auto"/>
              </w:rPr>
            </w:pPr>
            <w:r>
              <w:rPr>
                <w:rFonts w:ascii="Times New Roman" w:cs="Times New Roman" w:eastAsia="Times New Roman" w:hAnsi="Times New Roman"/>
                <w:sz w:val="16"/>
                <w:szCs w:val="16"/>
                <w:b w:val="1"/>
                <w:bCs w:val="1"/>
                <w:color w:val="auto"/>
              </w:rPr>
              <w:t>Available-for-sale</w:t>
            </w:r>
          </w:p>
        </w:tc>
        <w:tc>
          <w:tcPr>
            <w:tcW w:w="300" w:type="dxa"/>
            <w:vAlign w:val="bottom"/>
          </w:tcPr>
          <w:p>
            <w:pPr>
              <w:spacing w:after="0"/>
              <w:rPr>
                <w:sz w:val="15"/>
                <w:szCs w:val="15"/>
                <w:color w:val="auto"/>
              </w:rPr>
            </w:pPr>
          </w:p>
        </w:tc>
        <w:tc>
          <w:tcPr>
            <w:tcW w:w="2360" w:type="dxa"/>
            <w:vAlign w:val="bottom"/>
            <w:gridSpan w:val="5"/>
          </w:tcPr>
          <w:p>
            <w:pPr>
              <w:jc w:val="right"/>
              <w:ind w:right="800"/>
              <w:spacing w:after="0" w:line="180" w:lineRule="exact"/>
              <w:rPr>
                <w:sz w:val="20"/>
                <w:szCs w:val="20"/>
                <w:color w:val="auto"/>
              </w:rPr>
            </w:pPr>
            <w:r>
              <w:rPr>
                <w:rFonts w:ascii="Times New Roman" w:cs="Times New Roman" w:eastAsia="Times New Roman" w:hAnsi="Times New Roman"/>
                <w:sz w:val="16"/>
                <w:szCs w:val="16"/>
                <w:b w:val="1"/>
                <w:bCs w:val="1"/>
                <w:color w:val="auto"/>
              </w:rPr>
              <w:t>Held-to-maturity</w:t>
            </w:r>
          </w:p>
        </w:tc>
      </w:tr>
      <w:tr>
        <w:trPr>
          <w:trHeight w:val="193"/>
        </w:trPr>
        <w:tc>
          <w:tcPr>
            <w:tcW w:w="5080" w:type="dxa"/>
            <w:vAlign w:val="bottom"/>
          </w:tcPr>
          <w:p>
            <w:pPr>
              <w:spacing w:after="0"/>
              <w:rPr>
                <w:sz w:val="16"/>
                <w:szCs w:val="16"/>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60" w:type="dxa"/>
            <w:vAlign w:val="bottom"/>
          </w:tcPr>
          <w:p>
            <w:pPr>
              <w:spacing w:after="0"/>
              <w:rPr>
                <w:sz w:val="16"/>
                <w:szCs w:val="16"/>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16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2"/>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Due in one year or less</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43,237</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43,205</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20,556</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19,897</w:t>
            </w:r>
          </w:p>
        </w:tc>
        <w:tc>
          <w:tcPr>
            <w:tcW w:w="100" w:type="dxa"/>
            <w:vAlign w:val="bottom"/>
            <w:shd w:val="clear" w:color="auto" w:fill="CFF0FC"/>
          </w:tcPr>
          <w:p>
            <w:pPr>
              <w:spacing w:after="0"/>
              <w:rPr>
                <w:sz w:val="15"/>
                <w:szCs w:val="15"/>
                <w:color w:val="auto"/>
              </w:rPr>
            </w:pPr>
          </w:p>
        </w:tc>
      </w:tr>
      <w:tr>
        <w:trPr>
          <w:trHeight w:val="180"/>
        </w:trPr>
        <w:tc>
          <w:tcPr>
            <w:tcW w:w="5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Due after one year through five years</w:t>
            </w:r>
          </w:p>
        </w:tc>
        <w:tc>
          <w:tcPr>
            <w:tcW w:w="280" w:type="dxa"/>
            <w:vAlign w:val="bottom"/>
          </w:tcPr>
          <w:p>
            <w:pPr>
              <w:spacing w:after="0"/>
              <w:rPr>
                <w:sz w:val="15"/>
                <w:szCs w:val="15"/>
                <w:color w:val="auto"/>
              </w:rPr>
            </w:pPr>
          </w:p>
        </w:tc>
        <w:tc>
          <w:tcPr>
            <w:tcW w:w="11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159,911</w:t>
            </w:r>
          </w:p>
        </w:tc>
        <w:tc>
          <w:tcPr>
            <w:tcW w:w="160" w:type="dxa"/>
            <w:vAlign w:val="bottom"/>
          </w:tcPr>
          <w:p>
            <w:pPr>
              <w:spacing w:after="0"/>
              <w:rPr>
                <w:sz w:val="15"/>
                <w:szCs w:val="15"/>
                <w:color w:val="auto"/>
              </w:rPr>
            </w:pPr>
          </w:p>
        </w:tc>
        <w:tc>
          <w:tcPr>
            <w:tcW w:w="12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136,474</w:t>
            </w:r>
          </w:p>
        </w:tc>
        <w:tc>
          <w:tcPr>
            <w:tcW w:w="3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44,550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43,049</w:t>
            </w:r>
          </w:p>
        </w:tc>
        <w:tc>
          <w:tcPr>
            <w:tcW w:w="100" w:type="dxa"/>
            <w:vAlign w:val="bottom"/>
          </w:tcPr>
          <w:p>
            <w:pPr>
              <w:spacing w:after="0"/>
              <w:rPr>
                <w:sz w:val="15"/>
                <w:szCs w:val="15"/>
                <w:color w:val="auto"/>
              </w:rPr>
            </w:pPr>
          </w:p>
        </w:tc>
      </w:tr>
      <w:tr>
        <w:trPr>
          <w:trHeight w:val="180"/>
        </w:trPr>
        <w:tc>
          <w:tcPr>
            <w:tcW w:w="5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Due after five years through ten years</w:t>
            </w:r>
          </w:p>
        </w:tc>
        <w:tc>
          <w:tcPr>
            <w:tcW w:w="2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1,937,667</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1,629,085</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318,541</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277,213</w:t>
            </w:r>
          </w:p>
        </w:tc>
      </w:tr>
      <w:tr>
        <w:trPr>
          <w:trHeight w:val="180"/>
        </w:trPr>
        <w:tc>
          <w:tcPr>
            <w:tcW w:w="5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Due after ten years</w:t>
            </w:r>
          </w:p>
        </w:tc>
        <w:tc>
          <w:tcPr>
            <w:tcW w:w="280" w:type="dxa"/>
            <w:vAlign w:val="bottom"/>
          </w:tcPr>
          <w:p>
            <w:pPr>
              <w:spacing w:after="0"/>
              <w:rPr>
                <w:sz w:val="15"/>
                <w:szCs w:val="15"/>
                <w:color w:val="auto"/>
              </w:rPr>
            </w:pPr>
          </w:p>
        </w:tc>
        <w:tc>
          <w:tcPr>
            <w:tcW w:w="11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856,232</w:t>
            </w:r>
          </w:p>
        </w:tc>
        <w:tc>
          <w:tcPr>
            <w:tcW w:w="160" w:type="dxa"/>
            <w:vAlign w:val="bottom"/>
          </w:tcPr>
          <w:p>
            <w:pPr>
              <w:spacing w:after="0"/>
              <w:rPr>
                <w:sz w:val="15"/>
                <w:szCs w:val="15"/>
                <w:color w:val="auto"/>
              </w:rPr>
            </w:pPr>
          </w:p>
        </w:tc>
        <w:tc>
          <w:tcPr>
            <w:tcW w:w="12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733,351</w:t>
            </w:r>
          </w:p>
        </w:tc>
        <w:tc>
          <w:tcPr>
            <w:tcW w:w="3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1,996,021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1,614,186</w:t>
            </w:r>
          </w:p>
        </w:tc>
        <w:tc>
          <w:tcPr>
            <w:tcW w:w="100" w:type="dxa"/>
            <w:vAlign w:val="bottom"/>
          </w:tcPr>
          <w:p>
            <w:pPr>
              <w:spacing w:after="0"/>
              <w:rPr>
                <w:sz w:val="15"/>
                <w:szCs w:val="15"/>
                <w:color w:val="auto"/>
              </w:rPr>
            </w:pPr>
          </w:p>
        </w:tc>
      </w:tr>
      <w:tr>
        <w:trPr>
          <w:trHeight w:val="220"/>
        </w:trPr>
        <w:tc>
          <w:tcPr>
            <w:tcW w:w="5080" w:type="dxa"/>
            <w:vAlign w:val="bottom"/>
            <w:tcBorders>
              <w:bottom w:val="single" w:sz="8" w:color="CFF0FC"/>
            </w:tcBorders>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color w:val="auto"/>
              </w:rPr>
              <w:t>Total investment securities</w:t>
            </w:r>
          </w:p>
        </w:tc>
        <w:tc>
          <w:tcPr>
            <w:tcW w:w="280" w:type="dxa"/>
            <w:vAlign w:val="bottom"/>
            <w:tcBorders>
              <w:bottom w:val="single" w:sz="8" w:color="auto"/>
            </w:tcBorders>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2,997,047</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2,542,115</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2,379,668</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1,954,345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167" w:lineRule="exact"/>
        <w:rPr>
          <w:sz w:val="20"/>
          <w:szCs w:val="20"/>
          <w:color w:val="auto"/>
        </w:rPr>
      </w:pPr>
    </w:p>
    <w:p>
      <w:pPr>
        <w:jc w:val="both"/>
        <w:ind w:left="30" w:right="320" w:firstLine="588"/>
        <w:spacing w:after="0" w:line="247" w:lineRule="auto"/>
        <w:rPr>
          <w:sz w:val="20"/>
          <w:szCs w:val="20"/>
          <w:color w:val="auto"/>
        </w:rPr>
      </w:pPr>
      <w:r>
        <w:rPr>
          <w:rFonts w:ascii="Times New Roman" w:cs="Times New Roman" w:eastAsia="Times New Roman" w:hAnsi="Times New Roman"/>
          <w:sz w:val="16"/>
          <w:szCs w:val="16"/>
          <w:color w:val="auto"/>
        </w:rPr>
        <w:t>The Bank is a member of the FHLB and members are required to own a certain amount of FHLB stock based on the level of borrowings and other factors. FHLB stock is carried at cost and is periodically evaluated for impairment based on, among other things, the capital adequacy of the FHLB and its overall financial condition. No impairment losses have been recorded through December 31, 2024.</w:t>
      </w:r>
    </w:p>
    <w:p>
      <w:pPr>
        <w:spacing w:after="0" w:line="258" w:lineRule="exact"/>
        <w:rPr>
          <w:sz w:val="20"/>
          <w:szCs w:val="20"/>
          <w:color w:val="auto"/>
        </w:rPr>
      </w:pPr>
    </w:p>
    <w:p>
      <w:pPr>
        <w:ind w:left="630" w:right="3960" w:hanging="630"/>
        <w:spacing w:after="0" w:line="554" w:lineRule="auto"/>
        <w:tabs>
          <w:tab w:leader="none" w:pos="15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LOANS AND LEASE FINANCE RECEIVABLES AND ALLOWANCE FOR CREDIT LOSSES </w:t>
      </w:r>
      <w:r>
        <w:rPr>
          <w:rFonts w:ascii="Times New Roman" w:cs="Times New Roman" w:eastAsia="Times New Roman" w:hAnsi="Times New Roman"/>
          <w:sz w:val="14"/>
          <w:szCs w:val="14"/>
          <w:color w:val="auto"/>
        </w:rPr>
        <w:t>The following table provides a summary of total loans and lease finance receivables by type.</w:t>
      </w:r>
    </w:p>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205"/>
        </w:trPr>
        <w:tc>
          <w:tcPr>
            <w:tcW w:w="5760" w:type="dxa"/>
            <w:vAlign w:val="bottom"/>
          </w:tcPr>
          <w:p>
            <w:pPr>
              <w:spacing w:after="0"/>
              <w:rPr>
                <w:sz w:val="17"/>
                <w:szCs w:val="17"/>
                <w:color w:val="auto"/>
              </w:rPr>
            </w:pPr>
          </w:p>
        </w:tc>
        <w:tc>
          <w:tcPr>
            <w:tcW w:w="138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900" w:type="dxa"/>
            <w:vAlign w:val="bottom"/>
            <w:gridSpan w:val="3"/>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vMerge w:val="restart"/>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900" w:type="dxa"/>
            <w:vAlign w:val="bottom"/>
            <w:gridSpan w:val="3"/>
            <w:vMerge w:val="restart"/>
          </w:tcPr>
          <w:p>
            <w:pPr>
              <w:jc w:val="right"/>
              <w:ind w:right="12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1380" w:type="dxa"/>
            <w:vAlign w:val="bottom"/>
            <w:shd w:val="clear" w:color="auto" w:fill="CFF0FC"/>
          </w:tcPr>
          <w:p>
            <w:pPr>
              <w:jc w:val="right"/>
              <w:ind w:right="12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6,507,452</w:t>
            </w:r>
          </w:p>
        </w:tc>
        <w:tc>
          <w:tcPr>
            <w:tcW w:w="4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6,784,505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13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16,082</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66,734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SBA</w:t>
            </w:r>
          </w:p>
        </w:tc>
        <w:tc>
          <w:tcPr>
            <w:tcW w:w="13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273,013</w:t>
            </w:r>
          </w:p>
        </w:tc>
        <w:tc>
          <w:tcPr>
            <w:tcW w:w="7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270,619</w:t>
            </w:r>
          </w:p>
        </w:tc>
        <w:tc>
          <w:tcPr>
            <w:tcW w:w="0" w:type="dxa"/>
            <w:vAlign w:val="bottom"/>
          </w:tcPr>
          <w:p>
            <w:pPr>
              <w:spacing w:after="0"/>
              <w:rPr>
                <w:sz w:val="1"/>
                <w:szCs w:val="1"/>
                <w:color w:val="auto"/>
              </w:rPr>
            </w:pPr>
          </w:p>
        </w:tc>
      </w:tr>
      <w:tr>
        <w:trPr>
          <w:trHeight w:val="180"/>
        </w:trPr>
        <w:tc>
          <w:tcPr>
            <w:tcW w:w="5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SBA - Paycheck Protection Program (PPP)</w:t>
            </w:r>
          </w:p>
        </w:tc>
        <w:tc>
          <w:tcPr>
            <w:tcW w:w="13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774</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2,736</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13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925,178</w:t>
            </w:r>
          </w:p>
        </w:tc>
        <w:tc>
          <w:tcPr>
            <w:tcW w:w="7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969,895</w:t>
            </w:r>
          </w:p>
        </w:tc>
        <w:tc>
          <w:tcPr>
            <w:tcW w:w="0" w:type="dxa"/>
            <w:vAlign w:val="bottom"/>
          </w:tcPr>
          <w:p>
            <w:pPr>
              <w:spacing w:after="0"/>
              <w:rPr>
                <w:sz w:val="1"/>
                <w:szCs w:val="1"/>
                <w:color w:val="auto"/>
              </w:rPr>
            </w:pPr>
          </w:p>
        </w:tc>
      </w:tr>
      <w:tr>
        <w:trPr>
          <w:trHeight w:val="180"/>
        </w:trPr>
        <w:tc>
          <w:tcPr>
            <w:tcW w:w="5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1380" w:type="dxa"/>
            <w:vAlign w:val="bottom"/>
          </w:tcPr>
          <w:p>
            <w:pPr>
              <w:spacing w:after="0"/>
              <w:rPr>
                <w:sz w:val="15"/>
                <w:szCs w:val="15"/>
                <w:color w:val="auto"/>
              </w:rPr>
            </w:pPr>
          </w:p>
        </w:tc>
        <w:tc>
          <w:tcPr>
            <w:tcW w:w="1200" w:type="dxa"/>
            <w:vAlign w:val="bottom"/>
            <w:gridSpan w:val="2"/>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419,904</w:t>
            </w:r>
          </w:p>
        </w:tc>
        <w:tc>
          <w:tcPr>
            <w:tcW w:w="700" w:type="dxa"/>
            <w:vAlign w:val="bottom"/>
          </w:tcPr>
          <w:p>
            <w:pPr>
              <w:spacing w:after="0"/>
              <w:rPr>
                <w:sz w:val="15"/>
                <w:szCs w:val="15"/>
                <w:color w:val="auto"/>
              </w:rPr>
            </w:pPr>
          </w:p>
        </w:tc>
        <w:tc>
          <w:tcPr>
            <w:tcW w:w="1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412,891</w:t>
            </w:r>
          </w:p>
        </w:tc>
        <w:tc>
          <w:tcPr>
            <w:tcW w:w="0" w:type="dxa"/>
            <w:vAlign w:val="bottom"/>
          </w:tcPr>
          <w:p>
            <w:pPr>
              <w:spacing w:after="0"/>
              <w:rPr>
                <w:sz w:val="1"/>
                <w:szCs w:val="1"/>
                <w:color w:val="auto"/>
              </w:rPr>
            </w:pPr>
          </w:p>
        </w:tc>
      </w:tr>
      <w:tr>
        <w:trPr>
          <w:trHeight w:val="192"/>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13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66,114</w:t>
            </w:r>
          </w:p>
        </w:tc>
        <w:tc>
          <w:tcPr>
            <w:tcW w:w="4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73,590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SFR mortgage</w:t>
            </w:r>
          </w:p>
        </w:tc>
        <w:tc>
          <w:tcPr>
            <w:tcW w:w="1380" w:type="dxa"/>
            <w:vAlign w:val="bottom"/>
          </w:tcPr>
          <w:p>
            <w:pPr>
              <w:spacing w:after="0"/>
              <w:rPr>
                <w:sz w:val="15"/>
                <w:szCs w:val="15"/>
                <w:color w:val="auto"/>
              </w:rPr>
            </w:pPr>
          </w:p>
        </w:tc>
        <w:tc>
          <w:tcPr>
            <w:tcW w:w="1200" w:type="dxa"/>
            <w:vAlign w:val="bottom"/>
            <w:gridSpan w:val="2"/>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269,172</w:t>
            </w:r>
          </w:p>
        </w:tc>
        <w:tc>
          <w:tcPr>
            <w:tcW w:w="700" w:type="dxa"/>
            <w:vAlign w:val="bottom"/>
          </w:tcPr>
          <w:p>
            <w:pPr>
              <w:spacing w:after="0"/>
              <w:rPr>
                <w:sz w:val="15"/>
                <w:szCs w:val="15"/>
                <w:color w:val="auto"/>
              </w:rPr>
            </w:pPr>
          </w:p>
        </w:tc>
        <w:tc>
          <w:tcPr>
            <w:tcW w:w="1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269,868</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Consumer and other loans</w:t>
            </w:r>
          </w:p>
        </w:tc>
        <w:tc>
          <w:tcPr>
            <w:tcW w:w="1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58,743</w:t>
            </w:r>
          </w:p>
        </w:tc>
        <w:tc>
          <w:tcPr>
            <w:tcW w:w="4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54,072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loans, at amortized cost</w:t>
            </w:r>
          </w:p>
        </w:tc>
        <w:tc>
          <w:tcPr>
            <w:tcW w:w="13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8,536,432</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8,904,910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13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(80,122)</w:t>
            </w:r>
          </w:p>
        </w:tc>
        <w:tc>
          <w:tcPr>
            <w:tcW w:w="7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(86,842)</w:t>
            </w:r>
          </w:p>
        </w:tc>
        <w:tc>
          <w:tcPr>
            <w:tcW w:w="0" w:type="dxa"/>
            <w:vAlign w:val="bottom"/>
          </w:tcPr>
          <w:p>
            <w:pPr>
              <w:spacing w:after="0"/>
              <w:rPr>
                <w:sz w:val="1"/>
                <w:szCs w:val="1"/>
                <w:color w:val="auto"/>
              </w:rPr>
            </w:pPr>
          </w:p>
        </w:tc>
      </w:tr>
      <w:tr>
        <w:trPr>
          <w:trHeight w:val="180"/>
        </w:trPr>
        <w:tc>
          <w:tcPr>
            <w:tcW w:w="5760" w:type="dxa"/>
            <w:vAlign w:val="bottom"/>
          </w:tcPr>
          <w:p>
            <w:pPr>
              <w:ind w:left="360"/>
              <w:spacing w:after="0" w:line="160" w:lineRule="exact"/>
              <w:rPr>
                <w:sz w:val="20"/>
                <w:szCs w:val="20"/>
                <w:color w:val="auto"/>
              </w:rPr>
            </w:pPr>
            <w:r>
              <w:rPr>
                <w:rFonts w:ascii="Times New Roman" w:cs="Times New Roman" w:eastAsia="Times New Roman" w:hAnsi="Times New Roman"/>
                <w:sz w:val="16"/>
                <w:szCs w:val="16"/>
                <w:color w:val="auto"/>
              </w:rPr>
              <w:t>Total loans and lease finance receivables, net</w:t>
            </w:r>
          </w:p>
        </w:tc>
        <w:tc>
          <w:tcPr>
            <w:tcW w:w="1380" w:type="dxa"/>
            <w:vAlign w:val="bottom"/>
            <w:tcBorders>
              <w:bottom w:val="single" w:sz="8" w:color="auto"/>
            </w:tcBorders>
          </w:tcPr>
          <w:p>
            <w:pPr>
              <w:jc w:val="right"/>
              <w:ind w:right="120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8,456,310</w:t>
            </w:r>
          </w:p>
        </w:tc>
        <w:tc>
          <w:tcPr>
            <w:tcW w:w="440" w:type="dxa"/>
            <w:vAlign w:val="bottom"/>
          </w:tcPr>
          <w:p>
            <w:pPr>
              <w:spacing w:after="0"/>
              <w:rPr>
                <w:sz w:val="15"/>
                <w:szCs w:val="15"/>
                <w:color w:val="auto"/>
              </w:rPr>
            </w:pPr>
          </w:p>
        </w:tc>
        <w:tc>
          <w:tcPr>
            <w:tcW w:w="700" w:type="dxa"/>
            <w:vAlign w:val="bottom"/>
            <w:tcBorders>
              <w:bottom w:val="single" w:sz="8" w:color="auto"/>
            </w:tcBorders>
          </w:tcPr>
          <w:p>
            <w:pPr>
              <w:jc w:val="right"/>
              <w:ind w:right="52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8,818,068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0" w:right="20" w:firstLine="600"/>
        <w:spacing w:after="0" w:line="278" w:lineRule="auto"/>
        <w:rPr>
          <w:sz w:val="20"/>
          <w:szCs w:val="20"/>
          <w:color w:val="auto"/>
        </w:rPr>
      </w:pPr>
      <w:r>
        <w:rPr>
          <w:rFonts w:ascii="Times New Roman" w:cs="Times New Roman" w:eastAsia="Times New Roman" w:hAnsi="Times New Roman"/>
          <w:sz w:val="14"/>
          <w:szCs w:val="14"/>
          <w:color w:val="auto"/>
        </w:rPr>
        <w:t>As of December 31, 2024, 79.57% of the Company’s total gross loan portfolio consisted of real estate loans, with commercial real estate loans representing 76. 23% of total loans. Substantially all of the Company’s real estate loans and construction loans are secured by real properties located in California. As of December 31, 2024, $449.8 million, or 6.91% of the total commercial real estate loans included loans secured by farmland, compared to $497.7 million, or 7.34%, at December 31, 2023. The loans secured by farmland included $109.1 million for loans secured by dairy &amp; livestock land and $340.7 million for loans secured by agricultural land at December 31, 2024, compared to $122.4 million for loans secured by dairy &amp; livestock land and $375.3 million for loans secured by agricultural land at December 31, 2023. As of December 31, 2024, dairy &amp; livestock and agribusiness loans of $419.9 million were comprised of $385.3 million for dairy &amp; livestock loans and $34.6 million for agribusiness loans, compared to $374.9 million of dairy &amp; livestock loans and $38.0 million for agribusiness loans at December 31, 2023.</w:t>
      </w:r>
    </w:p>
    <w:p>
      <w:pPr>
        <w:spacing w:after="0" w:line="111" w:lineRule="exact"/>
        <w:rPr>
          <w:sz w:val="20"/>
          <w:szCs w:val="20"/>
          <w:color w:val="auto"/>
        </w:rPr>
      </w:pPr>
    </w:p>
    <w:p>
      <w:pPr>
        <w:ind w:left="30" w:right="220" w:firstLine="588"/>
        <w:spacing w:after="0" w:line="259" w:lineRule="auto"/>
        <w:rPr>
          <w:sz w:val="20"/>
          <w:szCs w:val="20"/>
          <w:color w:val="auto"/>
        </w:rPr>
      </w:pPr>
      <w:r>
        <w:rPr>
          <w:rFonts w:ascii="Times New Roman" w:cs="Times New Roman" w:eastAsia="Times New Roman" w:hAnsi="Times New Roman"/>
          <w:sz w:val="16"/>
          <w:szCs w:val="16"/>
          <w:color w:val="auto"/>
        </w:rPr>
        <w:t>At December 31, 2024 and 2023, loans totaling $4.44 billion and $4.04 billion, respectively, were pledged to secure available lines of credit from the FHLB and the Federal Reserve Bank.</w:t>
      </w:r>
    </w:p>
    <w:p>
      <w:pPr>
        <w:spacing w:after="0" w:line="5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488315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90"/>
          </w:cols>
          <w:pgMar w:left="630" w:top="1440" w:right="680" w:bottom="1440" w:gutter="0" w:footer="0" w:header="0"/>
        </w:sectPr>
      </w:pPr>
    </w:p>
    <w:bookmarkStart w:id="105" w:name="page106"/>
    <w:bookmarkEnd w:id="105"/>
    <w:p>
      <w:pPr>
        <w:spacing w:after="0" w:line="2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There were no outstanding loans held-for-sale as of December 31,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Quality Indicators</w:t>
      </w:r>
    </w:p>
    <w:p>
      <w:pPr>
        <w:spacing w:after="0" w:line="153" w:lineRule="exact"/>
        <w:rPr>
          <w:sz w:val="20"/>
          <w:szCs w:val="20"/>
          <w:color w:val="auto"/>
        </w:rPr>
      </w:pPr>
    </w:p>
    <w:p>
      <w:pPr>
        <w:ind w:right="80" w:firstLine="588"/>
        <w:spacing w:after="0" w:line="259" w:lineRule="auto"/>
        <w:rPr>
          <w:sz w:val="20"/>
          <w:szCs w:val="20"/>
          <w:color w:val="auto"/>
        </w:rPr>
      </w:pPr>
      <w:r>
        <w:rPr>
          <w:rFonts w:ascii="Times New Roman" w:cs="Times New Roman" w:eastAsia="Times New Roman" w:hAnsi="Times New Roman"/>
          <w:sz w:val="16"/>
          <w:szCs w:val="16"/>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19" w:lineRule="exact"/>
        <w:rPr>
          <w:sz w:val="20"/>
          <w:szCs w:val="20"/>
          <w:color w:val="auto"/>
        </w:rPr>
      </w:pPr>
    </w:p>
    <w:p>
      <w:pPr>
        <w:ind w:firstLine="588"/>
        <w:spacing w:after="0" w:line="241" w:lineRule="auto"/>
        <w:rPr>
          <w:sz w:val="20"/>
          <w:szCs w:val="20"/>
          <w:color w:val="auto"/>
        </w:rPr>
      </w:pPr>
      <w:r>
        <w:rPr>
          <w:rFonts w:ascii="Times New Roman" w:cs="Times New Roman" w:eastAsia="Times New Roman" w:hAnsi="Times New Roman"/>
          <w:sz w:val="16"/>
          <w:szCs w:val="16"/>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33" w:lineRule="exact"/>
        <w:rPr>
          <w:sz w:val="20"/>
          <w:szCs w:val="20"/>
          <w:color w:val="auto"/>
        </w:rPr>
      </w:pPr>
    </w:p>
    <w:p>
      <w:pPr>
        <w:ind w:right="360" w:firstLine="588"/>
        <w:spacing w:after="0" w:line="259" w:lineRule="auto"/>
        <w:rPr>
          <w:sz w:val="20"/>
          <w:szCs w:val="20"/>
          <w:color w:val="auto"/>
        </w:rPr>
      </w:pPr>
      <w:r>
        <w:rPr>
          <w:rFonts w:ascii="Times New Roman" w:cs="Times New Roman" w:eastAsia="Times New Roman" w:hAnsi="Times New Roman"/>
          <w:sz w:val="16"/>
          <w:szCs w:val="16"/>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19" w:lineRule="exact"/>
        <w:rPr>
          <w:sz w:val="20"/>
          <w:szCs w:val="20"/>
          <w:color w:val="auto"/>
        </w:rPr>
      </w:pPr>
    </w:p>
    <w:p>
      <w:pPr>
        <w:ind w:right="240" w:firstLine="588"/>
        <w:spacing w:after="0" w:line="299" w:lineRule="auto"/>
        <w:rPr>
          <w:sz w:val="20"/>
          <w:szCs w:val="20"/>
          <w:color w:val="auto"/>
        </w:rPr>
      </w:pPr>
      <w:r>
        <w:rPr>
          <w:rFonts w:ascii="Times New Roman" w:cs="Times New Roman" w:eastAsia="Times New Roman" w:hAnsi="Times New Roman"/>
          <w:sz w:val="14"/>
          <w:szCs w:val="14"/>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95" w:lineRule="exact"/>
        <w:rPr>
          <w:sz w:val="20"/>
          <w:szCs w:val="20"/>
          <w:color w:val="auto"/>
        </w:rPr>
      </w:pPr>
    </w:p>
    <w:p>
      <w:pPr>
        <w:ind w:right="120" w:firstLine="588"/>
        <w:spacing w:after="0" w:line="247" w:lineRule="auto"/>
        <w:rPr>
          <w:sz w:val="20"/>
          <w:szCs w:val="20"/>
          <w:color w:val="auto"/>
        </w:rPr>
      </w:pPr>
      <w:r>
        <w:rPr>
          <w:rFonts w:ascii="Times New Roman" w:cs="Times New Roman" w:eastAsia="Times New Roman" w:hAnsi="Times New Roman"/>
          <w:sz w:val="16"/>
          <w:szCs w:val="16"/>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28" w:lineRule="exact"/>
        <w:rPr>
          <w:sz w:val="20"/>
          <w:szCs w:val="20"/>
          <w:color w:val="auto"/>
        </w:rPr>
      </w:pPr>
    </w:p>
    <w:p>
      <w:pPr>
        <w:ind w:right="140" w:firstLine="588"/>
        <w:spacing w:after="0" w:line="247" w:lineRule="auto"/>
        <w:rPr>
          <w:sz w:val="20"/>
          <w:szCs w:val="20"/>
          <w:color w:val="auto"/>
        </w:rPr>
      </w:pPr>
      <w:r>
        <w:rPr>
          <w:rFonts w:ascii="Times New Roman" w:cs="Times New Roman" w:eastAsia="Times New Roman" w:hAnsi="Times New Roman"/>
          <w:sz w:val="16"/>
          <w:szCs w:val="16"/>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28" w:lineRule="exact"/>
        <w:rPr>
          <w:sz w:val="20"/>
          <w:szCs w:val="20"/>
          <w:color w:val="auto"/>
        </w:rPr>
      </w:pPr>
    </w:p>
    <w:p>
      <w:pPr>
        <w:ind w:right="320" w:firstLine="588"/>
        <w:spacing w:after="0" w:line="259" w:lineRule="auto"/>
        <w:rPr>
          <w:sz w:val="20"/>
          <w:szCs w:val="20"/>
          <w:color w:val="auto"/>
        </w:rPr>
      </w:pPr>
      <w:r>
        <w:rPr>
          <w:rFonts w:ascii="Times New Roman" w:cs="Times New Roman" w:eastAsia="Times New Roman" w:hAnsi="Times New Roman"/>
          <w:sz w:val="16"/>
          <w:szCs w:val="16"/>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19" w:lineRule="exact"/>
        <w:rPr>
          <w:sz w:val="20"/>
          <w:szCs w:val="20"/>
          <w:color w:val="auto"/>
        </w:rPr>
      </w:pPr>
    </w:p>
    <w:p>
      <w:pPr>
        <w:ind w:right="260" w:firstLine="588"/>
        <w:spacing w:after="0" w:line="247" w:lineRule="auto"/>
        <w:rPr>
          <w:sz w:val="20"/>
          <w:szCs w:val="20"/>
          <w:color w:val="auto"/>
        </w:rPr>
      </w:pPr>
      <w:r>
        <w:rPr>
          <w:rFonts w:ascii="Times New Roman" w:cs="Times New Roman" w:eastAsia="Times New Roman" w:hAnsi="Times New Roman"/>
          <w:sz w:val="16"/>
          <w:szCs w:val="16"/>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6" w:name="page107"/>
    <w:bookmarkEnd w:id="106"/>
    <w:p>
      <w:pPr>
        <w:ind w:left="600"/>
        <w:spacing w:after="0"/>
        <w:rPr>
          <w:sz w:val="20"/>
          <w:szCs w:val="20"/>
          <w:color w:val="auto"/>
        </w:rPr>
      </w:pPr>
      <w:r>
        <w:rPr>
          <w:rFonts w:ascii="Times New Roman" w:cs="Times New Roman" w:eastAsia="Times New Roman" w:hAnsi="Times New Roman"/>
          <w:sz w:val="16"/>
          <w:szCs w:val="16"/>
          <w:color w:val="auto"/>
        </w:rPr>
        <w:t>The following table summarizes loans by type and origination year, according to our internal risk ratings as of the dates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gridSpan w:val="3"/>
          </w:tcPr>
          <w:p>
            <w:pPr>
              <w:jc w:val="right"/>
              <w:ind w:right="488"/>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ind w:right="168"/>
              <w:spacing w:after="0"/>
              <w:rPr>
                <w:sz w:val="20"/>
                <w:szCs w:val="20"/>
                <w:color w:val="auto"/>
              </w:rPr>
            </w:pPr>
            <w:r>
              <w:rPr>
                <w:rFonts w:ascii="Times New Roman" w:cs="Times New Roman" w:eastAsia="Times New Roman" w:hAnsi="Times New Roman"/>
                <w:sz w:val="11"/>
                <w:szCs w:val="11"/>
                <w:b w:val="1"/>
                <w:bCs w:val="1"/>
                <w:color w:val="auto"/>
                <w:w w:val="96"/>
              </w:rPr>
              <w:t>amortized</w:t>
            </w:r>
          </w:p>
        </w:tc>
        <w:tc>
          <w:tcPr>
            <w:tcW w:w="180" w:type="dxa"/>
            <w:vAlign w:val="bottom"/>
          </w:tcPr>
          <w:p>
            <w:pPr>
              <w:spacing w:after="0"/>
              <w:rPr>
                <w:sz w:val="11"/>
                <w:szCs w:val="11"/>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20" w:type="dxa"/>
            <w:vAlign w:val="bottom"/>
          </w:tcPr>
          <w:p>
            <w:pPr>
              <w:spacing w:after="0"/>
              <w:rPr>
                <w:sz w:val="11"/>
                <w:szCs w:val="11"/>
                <w:color w:val="auto"/>
              </w:rPr>
            </w:pPr>
          </w:p>
        </w:tc>
        <w:tc>
          <w:tcPr>
            <w:tcW w:w="720" w:type="dxa"/>
            <w:vAlign w:val="bottom"/>
          </w:tcPr>
          <w:p>
            <w:pPr>
              <w:jc w:val="right"/>
              <w:ind w:right="328"/>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11"/>
                <w:szCs w:val="11"/>
                <w:color w:val="auto"/>
              </w:rPr>
            </w:pPr>
          </w:p>
        </w:tc>
        <w:tc>
          <w:tcPr>
            <w:tcW w:w="720" w:type="dxa"/>
            <w:vAlign w:val="bottom"/>
          </w:tcPr>
          <w:p>
            <w:pPr>
              <w:jc w:val="right"/>
              <w:ind w:right="348"/>
              <w:spacing w:after="0"/>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Pr>
          <w:p>
            <w:pPr>
              <w:spacing w:after="0"/>
              <w:rPr>
                <w:sz w:val="11"/>
                <w:szCs w:val="11"/>
                <w:color w:val="auto"/>
              </w:rPr>
            </w:pPr>
          </w:p>
        </w:tc>
        <w:tc>
          <w:tcPr>
            <w:tcW w:w="720" w:type="dxa"/>
            <w:vAlign w:val="bottom"/>
          </w:tcPr>
          <w:p>
            <w:pPr>
              <w:jc w:val="right"/>
              <w:ind w:right="328"/>
              <w:spacing w:after="0"/>
              <w:rPr>
                <w:sz w:val="20"/>
                <w:szCs w:val="20"/>
                <w:color w:val="auto"/>
              </w:rPr>
            </w:pPr>
            <w:r>
              <w:rPr>
                <w:rFonts w:ascii="Times New Roman" w:cs="Times New Roman" w:eastAsia="Times New Roman" w:hAnsi="Times New Roman"/>
                <w:sz w:val="11"/>
                <w:szCs w:val="11"/>
                <w:b w:val="1"/>
                <w:bCs w:val="1"/>
                <w:color w:val="auto"/>
              </w:rPr>
              <w:t>2022</w:t>
            </w:r>
          </w:p>
        </w:tc>
        <w:tc>
          <w:tcPr>
            <w:tcW w:w="280" w:type="dxa"/>
            <w:vAlign w:val="bottom"/>
          </w:tcPr>
          <w:p>
            <w:pPr>
              <w:spacing w:after="0"/>
              <w:rPr>
                <w:sz w:val="11"/>
                <w:szCs w:val="11"/>
                <w:color w:val="auto"/>
              </w:rPr>
            </w:pPr>
          </w:p>
        </w:tc>
        <w:tc>
          <w:tcPr>
            <w:tcW w:w="660" w:type="dxa"/>
            <w:vAlign w:val="bottom"/>
          </w:tcPr>
          <w:p>
            <w:pPr>
              <w:jc w:val="right"/>
              <w:ind w:right="288"/>
              <w:spacing w:after="0"/>
              <w:rPr>
                <w:sz w:val="20"/>
                <w:szCs w:val="20"/>
                <w:color w:val="auto"/>
              </w:rPr>
            </w:pPr>
            <w:r>
              <w:rPr>
                <w:rFonts w:ascii="Times New Roman" w:cs="Times New Roman" w:eastAsia="Times New Roman" w:hAnsi="Times New Roman"/>
                <w:sz w:val="11"/>
                <w:szCs w:val="11"/>
                <w:b w:val="1"/>
                <w:bCs w:val="1"/>
                <w:color w:val="auto"/>
              </w:rPr>
              <w:t>2021</w:t>
            </w:r>
          </w:p>
        </w:tc>
        <w:tc>
          <w:tcPr>
            <w:tcW w:w="320" w:type="dxa"/>
            <w:vAlign w:val="bottom"/>
          </w:tcPr>
          <w:p>
            <w:pPr>
              <w:spacing w:after="0"/>
              <w:rPr>
                <w:sz w:val="11"/>
                <w:szCs w:val="11"/>
                <w:color w:val="auto"/>
              </w:rPr>
            </w:pPr>
          </w:p>
        </w:tc>
        <w:tc>
          <w:tcPr>
            <w:tcW w:w="760" w:type="dxa"/>
            <w:vAlign w:val="bottom"/>
          </w:tcPr>
          <w:p>
            <w:pPr>
              <w:jc w:val="right"/>
              <w:ind w:right="388"/>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0" w:type="dxa"/>
            <w:vAlign w:val="bottom"/>
          </w:tcPr>
          <w:p>
            <w:pPr>
              <w:spacing w:after="0"/>
              <w:rPr>
                <w:sz w:val="11"/>
                <w:szCs w:val="11"/>
                <w:color w:val="auto"/>
              </w:rPr>
            </w:pPr>
          </w:p>
        </w:tc>
        <w:tc>
          <w:tcPr>
            <w:tcW w:w="720" w:type="dxa"/>
            <w:vAlign w:val="bottom"/>
          </w:tcPr>
          <w:p>
            <w:pPr>
              <w:jc w:val="right"/>
              <w:ind w:right="308"/>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20" w:type="dxa"/>
            <w:vAlign w:val="bottom"/>
          </w:tcPr>
          <w:p>
            <w:pPr>
              <w:spacing w:after="0"/>
              <w:rPr>
                <w:sz w:val="11"/>
                <w:szCs w:val="11"/>
                <w:color w:val="auto"/>
              </w:rPr>
            </w:pPr>
          </w:p>
        </w:tc>
        <w:tc>
          <w:tcPr>
            <w:tcW w:w="760" w:type="dxa"/>
            <w:vAlign w:val="bottom"/>
          </w:tcPr>
          <w:p>
            <w:pPr>
              <w:jc w:val="center"/>
              <w:ind w:right="168"/>
              <w:spacing w:after="0"/>
              <w:rPr>
                <w:sz w:val="20"/>
                <w:szCs w:val="20"/>
                <w:color w:val="auto"/>
              </w:rPr>
            </w:pPr>
            <w:r>
              <w:rPr>
                <w:rFonts w:ascii="Times New Roman" w:cs="Times New Roman" w:eastAsia="Times New Roman" w:hAnsi="Times New Roman"/>
                <w:sz w:val="11"/>
                <w:szCs w:val="11"/>
                <w:b w:val="1"/>
                <w:bCs w:val="1"/>
                <w:color w:val="auto"/>
                <w:w w:val="94"/>
              </w:rPr>
              <w:t>cost basis</w:t>
            </w:r>
          </w:p>
        </w:tc>
        <w:tc>
          <w:tcPr>
            <w:tcW w:w="180" w:type="dxa"/>
            <w:vAlign w:val="bottom"/>
          </w:tcPr>
          <w:p>
            <w:pPr>
              <w:spacing w:after="0"/>
              <w:rPr>
                <w:sz w:val="11"/>
                <w:szCs w:val="11"/>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280" w:type="dxa"/>
            <w:vAlign w:val="bottom"/>
          </w:tcPr>
          <w:p>
            <w:pPr>
              <w:spacing w:after="0"/>
              <w:rPr>
                <w:sz w:val="11"/>
                <w:szCs w:val="11"/>
                <w:color w:val="auto"/>
              </w:rPr>
            </w:pPr>
          </w:p>
        </w:tc>
        <w:tc>
          <w:tcPr>
            <w:tcW w:w="72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307,984</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419,547</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1,216,126</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1,066,694</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828,493</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2,170,119</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197,991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37,704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6,244,658</w:t>
            </w:r>
          </w:p>
        </w:tc>
        <w:tc>
          <w:tcPr>
            <w:tcW w:w="0" w:type="dxa"/>
            <w:vAlign w:val="bottom"/>
          </w:tcPr>
          <w:p>
            <w:pPr>
              <w:spacing w:after="0"/>
              <w:rPr>
                <w:sz w:val="1"/>
                <w:szCs w:val="1"/>
                <w:color w:val="auto"/>
              </w:rPr>
            </w:pP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2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1,075</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4,910</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36,505</w:t>
            </w:r>
          </w:p>
        </w:tc>
        <w:tc>
          <w:tcPr>
            <w:tcW w:w="280" w:type="dxa"/>
            <w:vAlign w:val="bottom"/>
          </w:tcPr>
          <w:p>
            <w:pPr>
              <w:spacing w:after="0"/>
              <w:rPr>
                <w:sz w:val="11"/>
                <w:szCs w:val="11"/>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21,478</w:t>
            </w:r>
          </w:p>
        </w:tc>
        <w:tc>
          <w:tcPr>
            <w:tcW w:w="320" w:type="dxa"/>
            <w:vAlign w:val="bottom"/>
          </w:tcPr>
          <w:p>
            <w:pPr>
              <w:spacing w:after="0"/>
              <w:rPr>
                <w:sz w:val="11"/>
                <w:szCs w:val="11"/>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17,056</w:t>
            </w:r>
          </w:p>
        </w:tc>
        <w:tc>
          <w:tcPr>
            <w:tcW w:w="20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104,201</w:t>
            </w:r>
          </w:p>
        </w:tc>
        <w:tc>
          <w:tcPr>
            <w:tcW w:w="220" w:type="dxa"/>
            <w:vAlign w:val="bottom"/>
          </w:tcPr>
          <w:p>
            <w:pPr>
              <w:spacing w:after="0"/>
              <w:rPr>
                <w:sz w:val="11"/>
                <w:szCs w:val="11"/>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3,937</w:t>
            </w:r>
          </w:p>
        </w:tc>
        <w:tc>
          <w:tcPr>
            <w:tcW w:w="180" w:type="dxa"/>
            <w:vAlign w:val="bottom"/>
          </w:tcPr>
          <w:p>
            <w:pPr>
              <w:spacing w:after="0"/>
              <w:rPr>
                <w:sz w:val="11"/>
                <w:szCs w:val="1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1,287</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190,449</w:t>
            </w: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1,176</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244</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6,775</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9,057</w:t>
            </w: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15,138</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34,259</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5,696</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72,345</w:t>
            </w:r>
          </w:p>
        </w:tc>
        <w:tc>
          <w:tcPr>
            <w:tcW w:w="0" w:type="dxa"/>
            <w:vAlign w:val="bottom"/>
          </w:tcPr>
          <w:p>
            <w:pPr>
              <w:spacing w:after="0"/>
              <w:rPr>
                <w:sz w:val="1"/>
                <w:szCs w:val="1"/>
                <w:color w:val="auto"/>
              </w:rPr>
            </w:pP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2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real</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estate loans: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310,235</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424,701</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1,259,406</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1,097,229</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860,687</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2,308,579</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207,624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38,991</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6,507,452</w:t>
            </w:r>
          </w:p>
        </w:tc>
        <w:tc>
          <w:tcPr>
            <w:tcW w:w="0" w:type="dxa"/>
            <w:vAlign w:val="bottom"/>
          </w:tcPr>
          <w:p>
            <w:pPr>
              <w:spacing w:after="0"/>
              <w:rPr>
                <w:sz w:val="1"/>
                <w:szCs w:val="1"/>
                <w:color w:val="auto"/>
              </w:rPr>
            </w:pPr>
          </w:p>
        </w:tc>
      </w:tr>
      <w:tr>
        <w:trPr>
          <w:trHeight w:val="130"/>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2,258</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2,258</w:t>
            </w:r>
          </w:p>
        </w:tc>
        <w:tc>
          <w:tcPr>
            <w:tcW w:w="0" w:type="dxa"/>
            <w:vAlign w:val="bottom"/>
          </w:tcPr>
          <w:p>
            <w:pPr>
              <w:spacing w:after="0"/>
              <w:rPr>
                <w:sz w:val="1"/>
                <w:szCs w:val="1"/>
                <w:color w:val="auto"/>
              </w:rPr>
            </w:pPr>
          </w:p>
        </w:tc>
      </w:tr>
      <w:tr>
        <w:trPr>
          <w:trHeight w:val="124"/>
        </w:trPr>
        <w:tc>
          <w:tcPr>
            <w:tcW w:w="1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loans:</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7,717</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315</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8,050</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16,082</w:t>
            </w:r>
          </w:p>
        </w:tc>
        <w:tc>
          <w:tcPr>
            <w:tcW w:w="0" w:type="dxa"/>
            <w:vAlign w:val="bottom"/>
          </w:tcPr>
          <w:p>
            <w:pPr>
              <w:spacing w:after="0"/>
              <w:rPr>
                <w:sz w:val="1"/>
                <w:szCs w:val="1"/>
                <w:color w:val="auto"/>
              </w:rPr>
            </w:pP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2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2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Construction</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7,717</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315</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8,050</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16,082</w:t>
            </w:r>
          </w:p>
        </w:tc>
        <w:tc>
          <w:tcPr>
            <w:tcW w:w="0" w:type="dxa"/>
            <w:vAlign w:val="bottom"/>
          </w:tcPr>
          <w:p>
            <w:pPr>
              <w:spacing w:after="0"/>
              <w:rPr>
                <w:sz w:val="1"/>
                <w:szCs w:val="1"/>
                <w:color w:val="auto"/>
              </w:rPr>
            </w:pPr>
          </w:p>
        </w:tc>
      </w:tr>
      <w:tr>
        <w:trPr>
          <w:trHeight w:val="130"/>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1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SBA loans:</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33,531</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16,064</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46,393</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47,810</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23,733</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92,012</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259,543</w:t>
            </w:r>
          </w:p>
        </w:tc>
        <w:tc>
          <w:tcPr>
            <w:tcW w:w="0" w:type="dxa"/>
            <w:vAlign w:val="bottom"/>
          </w:tcPr>
          <w:p>
            <w:pPr>
              <w:spacing w:after="0"/>
              <w:rPr>
                <w:sz w:val="1"/>
                <w:szCs w:val="1"/>
                <w:color w:val="auto"/>
              </w:rPr>
            </w:pP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2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1,337</w:t>
            </w:r>
          </w:p>
        </w:tc>
        <w:tc>
          <w:tcPr>
            <w:tcW w:w="320" w:type="dxa"/>
            <w:vAlign w:val="bottom"/>
          </w:tcPr>
          <w:p>
            <w:pPr>
              <w:spacing w:after="0"/>
              <w:rPr>
                <w:sz w:val="11"/>
                <w:szCs w:val="11"/>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4,716</w:t>
            </w:r>
          </w:p>
        </w:tc>
        <w:tc>
          <w:tcPr>
            <w:tcW w:w="20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1,830</w:t>
            </w:r>
          </w:p>
        </w:tc>
        <w:tc>
          <w:tcPr>
            <w:tcW w:w="220" w:type="dxa"/>
            <w:vAlign w:val="bottom"/>
          </w:tcPr>
          <w:p>
            <w:pPr>
              <w:spacing w:after="0"/>
              <w:rPr>
                <w:sz w:val="11"/>
                <w:szCs w:val="11"/>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7,883</w:t>
            </w: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1,581</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4,006</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5,587</w:t>
            </w:r>
          </w:p>
        </w:tc>
        <w:tc>
          <w:tcPr>
            <w:tcW w:w="0" w:type="dxa"/>
            <w:vAlign w:val="bottom"/>
          </w:tcPr>
          <w:p>
            <w:pPr>
              <w:spacing w:after="0"/>
              <w:rPr>
                <w:sz w:val="1"/>
                <w:szCs w:val="1"/>
                <w:color w:val="auto"/>
              </w:rPr>
            </w:pP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2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SBA loans: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33,531</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16,064</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47,974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49,147</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28,449</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97,848</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273,013</w:t>
            </w:r>
          </w:p>
        </w:tc>
        <w:tc>
          <w:tcPr>
            <w:tcW w:w="0" w:type="dxa"/>
            <w:vAlign w:val="bottom"/>
          </w:tcPr>
          <w:p>
            <w:pPr>
              <w:spacing w:after="0"/>
              <w:rPr>
                <w:sz w:val="1"/>
                <w:szCs w:val="1"/>
                <w:color w:val="auto"/>
              </w:rPr>
            </w:pPr>
          </w:p>
        </w:tc>
      </w:tr>
      <w:tr>
        <w:trPr>
          <w:trHeight w:val="130"/>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165</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165</w:t>
            </w:r>
          </w:p>
        </w:tc>
        <w:tc>
          <w:tcPr>
            <w:tcW w:w="0" w:type="dxa"/>
            <w:vAlign w:val="bottom"/>
          </w:tcPr>
          <w:p>
            <w:pPr>
              <w:spacing w:after="0"/>
              <w:rPr>
                <w:sz w:val="1"/>
                <w:szCs w:val="1"/>
                <w:color w:val="auto"/>
              </w:rPr>
            </w:pPr>
          </w:p>
        </w:tc>
      </w:tr>
      <w:tr>
        <w:trPr>
          <w:trHeight w:val="124"/>
        </w:trPr>
        <w:tc>
          <w:tcPr>
            <w:tcW w:w="1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SBA - PPP loans:</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254</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520</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774</w:t>
            </w:r>
          </w:p>
        </w:tc>
        <w:tc>
          <w:tcPr>
            <w:tcW w:w="0" w:type="dxa"/>
            <w:vAlign w:val="bottom"/>
          </w:tcPr>
          <w:p>
            <w:pPr>
              <w:spacing w:after="0"/>
              <w:rPr>
                <w:sz w:val="1"/>
                <w:szCs w:val="1"/>
                <w:color w:val="auto"/>
              </w:rPr>
            </w:pP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2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2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SBA - PPP loans: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254</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520</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774</w:t>
            </w:r>
          </w:p>
        </w:tc>
        <w:tc>
          <w:tcPr>
            <w:tcW w:w="0" w:type="dxa"/>
            <w:vAlign w:val="bottom"/>
          </w:tcPr>
          <w:p>
            <w:pPr>
              <w:spacing w:after="0"/>
              <w:rPr>
                <w:sz w:val="1"/>
                <w:szCs w:val="1"/>
                <w:color w:val="auto"/>
              </w:rPr>
            </w:pPr>
          </w:p>
        </w:tc>
      </w:tr>
      <w:tr>
        <w:trPr>
          <w:trHeight w:val="130"/>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and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industrial loans:</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100,465</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100,242</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111,982</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67,706</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69,084</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118,069</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318,147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6,213</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891,908</w:t>
            </w:r>
          </w:p>
        </w:tc>
        <w:tc>
          <w:tcPr>
            <w:tcW w:w="0" w:type="dxa"/>
            <w:vAlign w:val="bottom"/>
          </w:tcPr>
          <w:p>
            <w:pPr>
              <w:spacing w:after="0"/>
              <w:rPr>
                <w:sz w:val="1"/>
                <w:szCs w:val="1"/>
                <w:color w:val="auto"/>
              </w:rPr>
            </w:pP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20" w:type="dxa"/>
            <w:vAlign w:val="bottom"/>
          </w:tcPr>
          <w:p>
            <w:pPr>
              <w:spacing w:after="0"/>
              <w:rPr>
                <w:sz w:val="11"/>
                <w:szCs w:val="11"/>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819</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2,213</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1,026</w:t>
            </w:r>
          </w:p>
        </w:tc>
        <w:tc>
          <w:tcPr>
            <w:tcW w:w="280" w:type="dxa"/>
            <w:vAlign w:val="bottom"/>
          </w:tcPr>
          <w:p>
            <w:pPr>
              <w:spacing w:after="0"/>
              <w:rPr>
                <w:sz w:val="11"/>
                <w:szCs w:val="11"/>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2,169</w:t>
            </w:r>
          </w:p>
        </w:tc>
        <w:tc>
          <w:tcPr>
            <w:tcW w:w="320" w:type="dxa"/>
            <w:vAlign w:val="bottom"/>
          </w:tcPr>
          <w:p>
            <w:pPr>
              <w:spacing w:after="0"/>
              <w:rPr>
                <w:sz w:val="11"/>
                <w:szCs w:val="11"/>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421</w:t>
            </w:r>
          </w:p>
        </w:tc>
        <w:tc>
          <w:tcPr>
            <w:tcW w:w="20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4,175</w:t>
            </w:r>
          </w:p>
        </w:tc>
        <w:tc>
          <w:tcPr>
            <w:tcW w:w="220" w:type="dxa"/>
            <w:vAlign w:val="bottom"/>
          </w:tcPr>
          <w:p>
            <w:pPr>
              <w:spacing w:after="0"/>
              <w:rPr>
                <w:sz w:val="11"/>
                <w:szCs w:val="11"/>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8,136</w:t>
            </w:r>
          </w:p>
        </w:tc>
        <w:tc>
          <w:tcPr>
            <w:tcW w:w="180" w:type="dxa"/>
            <w:vAlign w:val="bottom"/>
          </w:tcPr>
          <w:p>
            <w:pPr>
              <w:spacing w:after="0"/>
              <w:rPr>
                <w:sz w:val="11"/>
                <w:szCs w:val="1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4,830</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23,789</w:t>
            </w:r>
          </w:p>
        </w:tc>
        <w:tc>
          <w:tcPr>
            <w:tcW w:w="0" w:type="dxa"/>
            <w:vAlign w:val="bottom"/>
          </w:tcPr>
          <w:p>
            <w:pPr>
              <w:spacing w:after="0"/>
              <w:rPr>
                <w:sz w:val="1"/>
                <w:szCs w:val="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3,029</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523</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11</w:t>
            </w: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1,997</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3,921</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9,481</w:t>
            </w:r>
          </w:p>
        </w:tc>
        <w:tc>
          <w:tcPr>
            <w:tcW w:w="0" w:type="dxa"/>
            <w:vAlign w:val="bottom"/>
          </w:tcPr>
          <w:p>
            <w:pPr>
              <w:spacing w:after="0"/>
              <w:rPr>
                <w:sz w:val="1"/>
                <w:szCs w:val="1"/>
                <w:color w:val="auto"/>
              </w:rPr>
            </w:pP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2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and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industrial loans: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101,284</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105,484</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113,531</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69,886</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69,505</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1"/>
                <w:szCs w:val="11"/>
                <w:color w:val="auto"/>
              </w:rPr>
              <w:t>122,244</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328,280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1"/>
                <w:szCs w:val="11"/>
                <w:color w:val="auto"/>
              </w:rPr>
              <w:t>14,964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925,178</w:t>
            </w:r>
          </w:p>
        </w:tc>
        <w:tc>
          <w:tcPr>
            <w:tcW w:w="0" w:type="dxa"/>
            <w:vAlign w:val="bottom"/>
          </w:tcPr>
          <w:p>
            <w:pPr>
              <w:spacing w:after="0"/>
              <w:rPr>
                <w:sz w:val="1"/>
                <w:szCs w:val="1"/>
                <w:color w:val="auto"/>
              </w:rPr>
            </w:pPr>
          </w:p>
        </w:tc>
      </w:tr>
      <w:tr>
        <w:trPr>
          <w:trHeight w:val="130"/>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300</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1,186</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495</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1,981</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07" w:name="page108"/>
    <w:bookmarkEnd w:id="107"/>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Revolving loans</w:t>
            </w: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5"/>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60" w:type="dxa"/>
            <w:vAlign w:val="bottom"/>
          </w:tcPr>
          <w:p>
            <w:pPr>
              <w:spacing w:after="0"/>
              <w:rPr>
                <w:sz w:val="11"/>
                <w:szCs w:val="11"/>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2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cost basis</w:t>
            </w:r>
          </w:p>
        </w:tc>
        <w:tc>
          <w:tcPr>
            <w:tcW w:w="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180" w:type="dxa"/>
            <w:vAlign w:val="bottom"/>
          </w:tcPr>
          <w:p>
            <w:pPr>
              <w:spacing w:after="0"/>
              <w:rPr>
                <w:sz w:val="11"/>
                <w:szCs w:val="11"/>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Dairy &amp; livestock and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agribusiness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596</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327,850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330,198</w:t>
            </w: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2,901</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84,295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1,650</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88,846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Dairy &amp; livestock</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and agribusiness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3,713</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596</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412,145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2,463</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419,904</w:t>
            </w:r>
          </w:p>
        </w:tc>
        <w:tc>
          <w:tcPr>
            <w:tcW w:w="0" w:type="dxa"/>
            <w:vAlign w:val="bottom"/>
          </w:tcPr>
          <w:p>
            <w:pPr>
              <w:spacing w:after="0"/>
              <w:rPr>
                <w:sz w:val="1"/>
                <w:szCs w:val="1"/>
                <w:color w:val="auto"/>
              </w:rPr>
            </w:pPr>
          </w:p>
        </w:tc>
      </w:tr>
      <w:tr>
        <w:trPr>
          <w:trHeight w:val="130"/>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Municipal lease finance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receivables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2,540</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5,111</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24,715</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5,140</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28,510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66,016</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Municipal lease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finance receivables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2,540</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5,111</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24,715</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5,140</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28,608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66,114</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SFR mortgage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20,261</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21,055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59,763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41,156</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38,730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85,637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266,602</w:t>
            </w: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1,591</w:t>
            </w: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SFR mortgage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20,261</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21,055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59,763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41,156</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39,626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87,027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269,172</w:t>
            </w:r>
          </w:p>
        </w:tc>
        <w:tc>
          <w:tcPr>
            <w:tcW w:w="0" w:type="dxa"/>
            <w:vAlign w:val="bottom"/>
          </w:tcPr>
          <w:p>
            <w:pPr>
              <w:spacing w:after="0"/>
              <w:rPr>
                <w:sz w:val="1"/>
                <w:szCs w:val="1"/>
                <w:color w:val="auto"/>
              </w:rPr>
            </w:pPr>
          </w:p>
        </w:tc>
      </w:tr>
      <w:tr>
        <w:trPr>
          <w:trHeight w:val="130"/>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Consumer and other</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7,242</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3,043</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1,521</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1,850</w:t>
            </w: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42,035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1,855</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58,312</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Consumer and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other 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7,242</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3,043</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1,521</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1,980</w:t>
            </w: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42,039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2,152</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58,743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480,552</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560,266</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1,448,946</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1,250,781</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966,628</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2,495,112</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886,023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45,785</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8,134,093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4,795</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7,123</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37,531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23,089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110,715</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96,372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8,051</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312,790</w:t>
            </w: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1,176</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3,273</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8,879</w:t>
            </w:r>
          </w:p>
        </w:tc>
        <w:tc>
          <w:tcPr>
            <w:tcW w:w="1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9,068</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15,138</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39,304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7,693</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5,018</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89,549</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1820" w:type="dxa"/>
            <w:vAlign w:val="bottom"/>
            <w:tcBorders>
              <w:bottom w:val="single" w:sz="8" w:color="CFF0FC"/>
            </w:tcBorders>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486,523</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570,662</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1,495,356</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6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1,284,963</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6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1,004,855</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2,645,131</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990,088</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58,854</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6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8,536,432</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20" w:type="dxa"/>
            <w:vAlign w:val="bottom"/>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220" w:type="dxa"/>
            <w:vAlign w:val="bottom"/>
          </w:tcPr>
          <w:p>
            <w:pPr>
              <w:spacing w:after="0"/>
              <w:rPr>
                <w:sz w:val="9"/>
                <w:szCs w:val="9"/>
                <w:color w:val="auto"/>
              </w:rPr>
            </w:pPr>
          </w:p>
        </w:tc>
        <w:tc>
          <w:tcPr>
            <w:tcW w:w="1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3,609</w:t>
            </w:r>
          </w:p>
        </w:tc>
        <w:tc>
          <w:tcPr>
            <w:tcW w:w="22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200" w:type="dxa"/>
            <w:vAlign w:val="bottom"/>
          </w:tcPr>
          <w:p>
            <w:pPr>
              <w:spacing w:after="0"/>
              <w:rPr>
                <w:sz w:val="9"/>
                <w:szCs w:val="9"/>
                <w:color w:val="auto"/>
              </w:rPr>
            </w:pPr>
          </w:p>
        </w:tc>
        <w:tc>
          <w:tcPr>
            <w:tcW w:w="1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4,408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820" w:type="dxa"/>
            <w:vAlign w:val="bottom"/>
          </w:tcPr>
          <w:p>
            <w:pPr>
              <w:ind w:left="80"/>
              <w:spacing w:after="0" w:line="91" w:lineRule="exact"/>
              <w:rPr>
                <w:sz w:val="20"/>
                <w:szCs w:val="20"/>
                <w:color w:val="auto"/>
              </w:rPr>
            </w:pPr>
            <w:r>
              <w:rPr>
                <w:rFonts w:ascii="Times New Roman" w:cs="Times New Roman" w:eastAsia="Times New Roman" w:hAnsi="Times New Roman"/>
                <w:sz w:val="10"/>
                <w:szCs w:val="10"/>
                <w:b w:val="1"/>
                <w:bCs w:val="1"/>
                <w:color w:val="auto"/>
              </w:rPr>
              <w:t>Gross charge-offs</w:t>
            </w: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8" w:name="page109"/>
    <w:bookmarkEnd w:id="108"/>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Revolving loans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80" w:type="dxa"/>
            <w:vAlign w:val="bottom"/>
          </w:tcPr>
          <w:p>
            <w:pPr>
              <w:spacing w:after="0"/>
              <w:rPr>
                <w:sz w:val="11"/>
                <w:szCs w:val="11"/>
                <w:color w:val="auto"/>
              </w:rPr>
            </w:pPr>
          </w:p>
        </w:tc>
        <w:tc>
          <w:tcPr>
            <w:tcW w:w="80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520" w:type="dxa"/>
            <w:vAlign w:val="bottom"/>
          </w:tcPr>
          <w:p>
            <w:pPr>
              <w:spacing w:after="0"/>
              <w:rPr>
                <w:sz w:val="11"/>
                <w:szCs w:val="11"/>
                <w:color w:val="auto"/>
              </w:rPr>
            </w:pPr>
          </w:p>
        </w:tc>
        <w:tc>
          <w:tcPr>
            <w:tcW w:w="72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Pr>
          <w:p>
            <w:pPr>
              <w:spacing w:after="0"/>
              <w:rPr>
                <w:sz w:val="11"/>
                <w:szCs w:val="11"/>
                <w:color w:val="auto"/>
              </w:rPr>
            </w:pPr>
          </w:p>
        </w:tc>
        <w:tc>
          <w:tcPr>
            <w:tcW w:w="72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60" w:type="dxa"/>
            <w:vAlign w:val="bottom"/>
          </w:tcPr>
          <w:p>
            <w:pPr>
              <w:spacing w:after="0"/>
              <w:rPr>
                <w:sz w:val="11"/>
                <w:szCs w:val="11"/>
                <w:color w:val="auto"/>
              </w:rPr>
            </w:pPr>
          </w:p>
        </w:tc>
        <w:tc>
          <w:tcPr>
            <w:tcW w:w="72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80" w:type="dxa"/>
            <w:vAlign w:val="bottom"/>
          </w:tcPr>
          <w:p>
            <w:pPr>
              <w:spacing w:after="0"/>
              <w:rPr>
                <w:sz w:val="11"/>
                <w:szCs w:val="11"/>
                <w:color w:val="auto"/>
              </w:rPr>
            </w:pPr>
          </w:p>
        </w:tc>
        <w:tc>
          <w:tcPr>
            <w:tcW w:w="66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2020</w:t>
            </w:r>
          </w:p>
        </w:tc>
        <w:tc>
          <w:tcPr>
            <w:tcW w:w="320" w:type="dxa"/>
            <w:vAlign w:val="bottom"/>
          </w:tcPr>
          <w:p>
            <w:pPr>
              <w:spacing w:after="0"/>
              <w:rPr>
                <w:sz w:val="11"/>
                <w:szCs w:val="11"/>
                <w:color w:val="auto"/>
              </w:rPr>
            </w:pPr>
          </w:p>
        </w:tc>
        <w:tc>
          <w:tcPr>
            <w:tcW w:w="76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2019</w:t>
            </w:r>
          </w:p>
        </w:tc>
        <w:tc>
          <w:tcPr>
            <w:tcW w:w="200" w:type="dxa"/>
            <w:vAlign w:val="bottom"/>
          </w:tcPr>
          <w:p>
            <w:pPr>
              <w:spacing w:after="0"/>
              <w:rPr>
                <w:sz w:val="11"/>
                <w:szCs w:val="11"/>
                <w:color w:val="auto"/>
              </w:rPr>
            </w:pPr>
          </w:p>
        </w:tc>
        <w:tc>
          <w:tcPr>
            <w:tcW w:w="72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20" w:type="dxa"/>
            <w:vAlign w:val="bottom"/>
          </w:tcPr>
          <w:p>
            <w:pPr>
              <w:spacing w:after="0"/>
              <w:rPr>
                <w:sz w:val="11"/>
                <w:szCs w:val="11"/>
                <w:color w:val="auto"/>
              </w:rPr>
            </w:pP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 basis</w:t>
            </w:r>
          </w:p>
        </w:tc>
        <w:tc>
          <w:tcPr>
            <w:tcW w:w="180" w:type="dxa"/>
            <w:vAlign w:val="bottom"/>
          </w:tcPr>
          <w:p>
            <w:pPr>
              <w:spacing w:after="0"/>
              <w:rPr>
                <w:sz w:val="11"/>
                <w:szCs w:val="11"/>
                <w:color w:val="auto"/>
              </w:rPr>
            </w:pPr>
          </w:p>
        </w:tc>
        <w:tc>
          <w:tcPr>
            <w:tcW w:w="80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280" w:type="dxa"/>
            <w:vAlign w:val="bottom"/>
          </w:tcPr>
          <w:p>
            <w:pPr>
              <w:spacing w:after="0"/>
              <w:rPr>
                <w:sz w:val="11"/>
                <w:szCs w:val="11"/>
                <w:color w:val="auto"/>
              </w:rPr>
            </w:pPr>
          </w:p>
        </w:tc>
        <w:tc>
          <w:tcPr>
            <w:tcW w:w="72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4"/>
        </w:trPr>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0"/>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4"/>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447,991</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1,315,563</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1,133,331</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885,590</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497,541</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2,041,329</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171,223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38,568</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6,531,136</w:t>
            </w: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3,241</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3,897</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15,868</w:t>
            </w:r>
          </w:p>
        </w:tc>
        <w:tc>
          <w:tcPr>
            <w:tcW w:w="28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19,368</w:t>
            </w:r>
          </w:p>
        </w:tc>
        <w:tc>
          <w:tcPr>
            <w:tcW w:w="32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43,824</w:t>
            </w:r>
          </w:p>
        </w:tc>
        <w:tc>
          <w:tcPr>
            <w:tcW w:w="2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74,673</w:t>
            </w:r>
          </w:p>
        </w:tc>
        <w:tc>
          <w:tcPr>
            <w:tcW w:w="22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2,911</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163,782</w:t>
            </w: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744</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8,127</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2,891</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33,401</w:t>
            </w: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12,986</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30,637</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801</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89,587</w:t>
            </w: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real</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4"/>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estate loans: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451,976</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1,327,587</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1,152,090</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938,359</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554,351</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2,146,639</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174,935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38,568</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6,784,505</w:t>
            </w:r>
          </w:p>
        </w:tc>
      </w:tr>
      <w:tr>
        <w:trPr>
          <w:trHeight w:val="130"/>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24"/>
        </w:trPr>
        <w:tc>
          <w:tcPr>
            <w:tcW w:w="1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2"/>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loans:</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1,274</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15,046</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22,288</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8,058</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17,938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64,604</w:t>
            </w: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2,130</w:t>
            </w:r>
          </w:p>
        </w:tc>
        <w:tc>
          <w:tcPr>
            <w:tcW w:w="28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2,130</w:t>
            </w: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Construction</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4"/>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1,274</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15,046</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24,418</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8,058</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17,938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66,734</w:t>
            </w:r>
          </w:p>
        </w:tc>
      </w:tr>
      <w:tr>
        <w:trPr>
          <w:trHeight w:val="130"/>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24"/>
        </w:trPr>
        <w:tc>
          <w:tcPr>
            <w:tcW w:w="1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2"/>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SBA loans:</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20,701</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48,212</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51,038</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29,306</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6,236</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101,856</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257,349</w:t>
            </w: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1,627</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4,784</w:t>
            </w:r>
          </w:p>
        </w:tc>
        <w:tc>
          <w:tcPr>
            <w:tcW w:w="32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1,132</w:t>
            </w:r>
          </w:p>
        </w:tc>
        <w:tc>
          <w:tcPr>
            <w:tcW w:w="2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1,760</w:t>
            </w:r>
          </w:p>
        </w:tc>
        <w:tc>
          <w:tcPr>
            <w:tcW w:w="22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9,303</w:t>
            </w: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749</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3,218</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3,967</w:t>
            </w: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SBA loans: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20,701</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49,839</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51,038</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34,090</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8,117</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106,834</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270,619</w:t>
            </w:r>
          </w:p>
        </w:tc>
      </w:tr>
      <w:tr>
        <w:trPr>
          <w:trHeight w:val="130"/>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288</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288</w:t>
            </w:r>
          </w:p>
        </w:tc>
      </w:tr>
      <w:tr>
        <w:trPr>
          <w:trHeight w:val="124"/>
        </w:trPr>
        <w:tc>
          <w:tcPr>
            <w:tcW w:w="1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2"/>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SBA - PPP loans:</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699</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2,037</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2,736</w:t>
            </w: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SBA - PPP loans: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699</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2,037</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2,736</w:t>
            </w:r>
          </w:p>
        </w:tc>
      </w:tr>
      <w:tr>
        <w:trPr>
          <w:trHeight w:val="130"/>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24"/>
        </w:trPr>
        <w:tc>
          <w:tcPr>
            <w:tcW w:w="1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0"/>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and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4"/>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industrial loans:</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141,080</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143,847</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100,059</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88,743</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68,352</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94,027</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289,539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5,460</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931,107</w:t>
            </w: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7,829</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738</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745</w:t>
            </w:r>
          </w:p>
        </w:tc>
        <w:tc>
          <w:tcPr>
            <w:tcW w:w="28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552</w:t>
            </w:r>
          </w:p>
        </w:tc>
        <w:tc>
          <w:tcPr>
            <w:tcW w:w="32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4,114</w:t>
            </w:r>
          </w:p>
        </w:tc>
        <w:tc>
          <w:tcPr>
            <w:tcW w:w="2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3,986</w:t>
            </w:r>
          </w:p>
        </w:tc>
        <w:tc>
          <w:tcPr>
            <w:tcW w:w="22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10,529</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5,347</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33,840</w:t>
            </w:r>
          </w:p>
        </w:tc>
      </w:tr>
      <w:tr>
        <w:trPr>
          <w:trHeight w:val="132"/>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257</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89</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1,296</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2,487</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819</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4,948</w:t>
            </w:r>
          </w:p>
        </w:tc>
      </w:tr>
      <w:tr>
        <w:trPr>
          <w:trHeight w:val="132"/>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and</w:t>
            </w: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4"/>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industrial loans:</w:t>
            </w: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148,909</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144,842</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100,804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89,295</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72,555</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99,309</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302,555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11,626</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969,895</w:t>
            </w:r>
          </w:p>
        </w:tc>
      </w:tr>
      <w:tr>
        <w:trPr>
          <w:trHeight w:val="130"/>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109</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109</w:t>
            </w:r>
          </w:p>
        </w:tc>
      </w:tr>
    </w:tbl>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9" w:name="page110"/>
    <w:bookmarkEnd w:id="109"/>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Revolving loans</w:t>
            </w: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5"/>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Pr>
          <w:p>
            <w:pPr>
              <w:spacing w:after="0"/>
              <w:rPr>
                <w:sz w:val="11"/>
                <w:szCs w:val="11"/>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2019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cost basis</w:t>
            </w:r>
          </w:p>
        </w:tc>
        <w:tc>
          <w:tcPr>
            <w:tcW w:w="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180" w:type="dxa"/>
            <w:vAlign w:val="bottom"/>
          </w:tcPr>
          <w:p>
            <w:pPr>
              <w:spacing w:after="0"/>
              <w:rPr>
                <w:sz w:val="11"/>
                <w:szCs w:val="11"/>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Dairy &amp; livestock and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agribusiness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1,586</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337,525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340,626</w:t>
            </w: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69,232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2,500</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2,560</w:t>
            </w: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Dairy &amp; livestock</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and agribusiness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1,586</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409,257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412,891</w:t>
            </w:r>
          </w:p>
        </w:tc>
        <w:tc>
          <w:tcPr>
            <w:tcW w:w="0" w:type="dxa"/>
            <w:vAlign w:val="bottom"/>
          </w:tcPr>
          <w:p>
            <w:pPr>
              <w:spacing w:after="0"/>
              <w:rPr>
                <w:sz w:val="1"/>
                <w:szCs w:val="1"/>
                <w:color w:val="auto"/>
              </w:rPr>
            </w:pPr>
          </w:p>
        </w:tc>
      </w:tr>
      <w:tr>
        <w:trPr>
          <w:trHeight w:val="130"/>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Municipal lease finance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receivables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5,735</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25,803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5,981</w:t>
            </w: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4,267</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31,622</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73,408</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Municipal lease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finance receivables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5,735</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25,803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5,981</w:t>
            </w: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4,267</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31,804</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73,590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SFR mortgage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22,248</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61,070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43,573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44,076</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28,049</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67,750</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266,766</w:t>
            </w: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2,578</w:t>
            </w: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SFR mortgage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23,037</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61,070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43,573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44,994</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28,593</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68,277</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269,868</w:t>
            </w:r>
          </w:p>
        </w:tc>
        <w:tc>
          <w:tcPr>
            <w:tcW w:w="0" w:type="dxa"/>
            <w:vAlign w:val="bottom"/>
          </w:tcPr>
          <w:p>
            <w:pPr>
              <w:spacing w:after="0"/>
              <w:rPr>
                <w:sz w:val="1"/>
                <w:szCs w:val="1"/>
                <w:color w:val="auto"/>
              </w:rPr>
            </w:pPr>
          </w:p>
        </w:tc>
      </w:tr>
      <w:tr>
        <w:trPr>
          <w:trHeight w:val="130"/>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Consumer and other</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4,911</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4,122</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2,707</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38,595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53,038</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611</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Consumer and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other 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4,911</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4,122</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2,953</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38,600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1,642</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54,072</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638,501</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1,593,595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1,381,084</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1,065,424</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605,169</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2,337,278</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854,820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44,899</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8,520,770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12,307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6,262</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25,622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49,639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80,928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82,676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5,520</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281,943</w:t>
            </w:r>
          </w:p>
        </w:tc>
        <w:tc>
          <w:tcPr>
            <w:tcW w:w="0" w:type="dxa"/>
            <w:vAlign w:val="bottom"/>
          </w:tcPr>
          <w:p>
            <w:pPr>
              <w:spacing w:after="0"/>
              <w:rPr>
                <w:sz w:val="1"/>
                <w:szCs w:val="1"/>
                <w:color w:val="auto"/>
              </w:rPr>
            </w:pPr>
          </w:p>
        </w:tc>
      </w:tr>
      <w:tr>
        <w:trPr>
          <w:trHeight w:val="132"/>
        </w:trPr>
        <w:tc>
          <w:tcPr>
            <w:tcW w:w="1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8,384</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2,891</w:t>
            </w: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33,401</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13,824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35,423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5,789</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1,741</w:t>
            </w:r>
          </w:p>
        </w:tc>
        <w:tc>
          <w:tcPr>
            <w:tcW w:w="1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102,197</w:t>
            </w:r>
          </w:p>
        </w:tc>
        <w:tc>
          <w:tcPr>
            <w:tcW w:w="0" w:type="dxa"/>
            <w:vAlign w:val="bottom"/>
          </w:tcPr>
          <w:p>
            <w:pPr>
              <w:spacing w:after="0"/>
              <w:rPr>
                <w:sz w:val="1"/>
                <w:szCs w:val="1"/>
                <w:color w:val="auto"/>
              </w:rPr>
            </w:pPr>
          </w:p>
        </w:tc>
      </w:tr>
      <w:tr>
        <w:trPr>
          <w:trHeight w:val="132"/>
        </w:trPr>
        <w:tc>
          <w:tcPr>
            <w:tcW w:w="1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1820" w:type="dxa"/>
            <w:vAlign w:val="bottom"/>
            <w:tcBorders>
              <w:bottom w:val="single" w:sz="8" w:color="CFF0FC"/>
            </w:tcBorders>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651,552</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1,608,241</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1,402,964</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6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1,124,447</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6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668,632</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2,453,629</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943,285</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52,160</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6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8,904,910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20" w:type="dxa"/>
            <w:vAlign w:val="bottom"/>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22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200" w:type="dxa"/>
            <w:vAlign w:val="bottom"/>
          </w:tcPr>
          <w:p>
            <w:pPr>
              <w:spacing w:after="0"/>
              <w:rPr>
                <w:sz w:val="9"/>
                <w:szCs w:val="9"/>
                <w:color w:val="auto"/>
              </w:rPr>
            </w:pPr>
          </w:p>
        </w:tc>
        <w:tc>
          <w:tcPr>
            <w:tcW w:w="1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820" w:type="dxa"/>
            <w:vAlign w:val="bottom"/>
          </w:tcPr>
          <w:p>
            <w:pPr>
              <w:ind w:left="80"/>
              <w:spacing w:after="0" w:line="91" w:lineRule="exact"/>
              <w:rPr>
                <w:sz w:val="20"/>
                <w:szCs w:val="20"/>
                <w:color w:val="auto"/>
              </w:rPr>
            </w:pPr>
            <w:r>
              <w:rPr>
                <w:rFonts w:ascii="Times New Roman" w:cs="Times New Roman" w:eastAsia="Times New Roman" w:hAnsi="Times New Roman"/>
                <w:sz w:val="10"/>
                <w:szCs w:val="10"/>
                <w:b w:val="1"/>
                <w:bCs w:val="1"/>
                <w:color w:val="auto"/>
              </w:rPr>
              <w:t>Gross charge-offs</w:t>
            </w: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w:t>
      </w:r>
    </w:p>
    <w:p>
      <w:pPr>
        <w:spacing w:after="0" w:line="156"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The Company's allowance models calculate reserves over the average life of the loan, which includes the remaining time to maturity, adjusted for estimated prepayments applied as an adjustment to our commercial real estate and commercial and industrial loans. 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A substantial portion of the ACL relates to loans within the Commercial Real Estate and Commercial and Industrial methodologies, each evaluated on a</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0" w:name="page111"/>
    <w:bookmarkEnd w:id="110"/>
    <w:p>
      <w:pPr>
        <w:spacing w:after="0" w:line="13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 xml:space="preserve">collective basis. Our ACL amounts are largely driven by portfolio characteristics, including loss history, internal risk grading, various risk attributes, and the economic outlook for certain macroeconomic variables. Risk attributes for commercial real estate loans include original loan to value ratios,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(excluding PPP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two through three, of the reasonable and supportable forecast period, with the reversion largely completed within the first five years of the forecast. The economic forecast is based on probability weighted scenarios to address macroeconomic uncertainty. Our methodology for assessing the appropriateness of the allowance is reviewed on a regular basis and considers overall risks in the Bank’s loan portfolio. Refer to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contained herein for a more detailed discussion concerning the allowance for credit losses.</w:t>
      </w:r>
    </w:p>
    <w:p>
      <w:pPr>
        <w:spacing w:after="0" w:line="142"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color w:val="auto"/>
        </w:rPr>
        <w:t>The ACL totaled $80.1 million as of December 31, 2024, compared to $86.8 million as of December 31, 2023. The $6.7 million decrease is comprised of a $3.0 million recapture of provision for credit losses and $3.7 million in net charge-offs. At December 31, 2024, the ACL as a percentage of total loans and leases, at amortized cost was 0.94% of total loans. This compares to 0.98% at December 31, 2023. The ACL increased by $1.7 million for 2023 and included a provision for credit losses of $2.0 million, offset by net charge-offs of $0.3 million. As a result of the acquisition of Suncrest, we recorded a provision for credit losses of $4.9 million on January 7, 2022 to establish the ACL for the acquired loans that were not considered PCD. The ACL at January 7, 2022, also included $8.6 million for the acquired Suncrest PCD loans. The $20.1 million increase in the ACL from December 31, 2021 to December 31, 2022 was comprised of approximately $893,000 in net recoveries, the $8.6 million for the Suncrest PCD loans and a $10.6 million provision for credit losses, including the $4.9 million provision recorded to establish the ACL for the non- PCD loans acquired from Suncrest. Our economic forecast continues to be a blend of multiple forecasts produced by Moody’s. These U.S. economic forecasts include a baseline forecast, as well as upside and downside forecasts. The baseline forecast continues to represent the largest weighting in our multi-weighted forecast scenario, with both upside and downside risks weighted among multiple forecasts. The resulting economic forecast reflects GDP growing at slower rate than 2024, with GDP growth forecasted below 2% for 2025 through 2027. Commercial Real Estate values are forecasted to continue their decline in 2025, with appreciation starting in 2027. Unemployment is forecasted to rise above 5% in 2025 and remains over 5% until 2028.</w:t>
      </w:r>
    </w:p>
    <w:p>
      <w:pPr>
        <w:spacing w:after="0" w:line="136" w:lineRule="exact"/>
        <w:rPr>
          <w:sz w:val="20"/>
          <w:szCs w:val="20"/>
          <w:color w:val="auto"/>
        </w:rPr>
      </w:pPr>
    </w:p>
    <w:p>
      <w:pPr>
        <w:jc w:val="both"/>
        <w:ind w:right="80" w:firstLine="588"/>
        <w:spacing w:after="0" w:line="247" w:lineRule="auto"/>
        <w:rPr>
          <w:sz w:val="20"/>
          <w:szCs w:val="20"/>
          <w:color w:val="auto"/>
        </w:rPr>
      </w:pPr>
      <w:r>
        <w:rPr>
          <w:rFonts w:ascii="Times New Roman" w:cs="Times New Roman" w:eastAsia="Times New Roman" w:hAnsi="Times New Roman"/>
          <w:sz w:val="16"/>
          <w:szCs w:val="16"/>
          <w:color w:val="auto"/>
        </w:rPr>
        <w:t>Management believes that the ACL was appropriate at December 31, 2024 and 2023. Due to inflationary pressures, high interest rates, lower commercial real estate values, and geopolitical events, no assurance can be given that economic conditions that adversely affect the Company’s service areas or other circumstances will not be reflected in increased provisions for credit losses in the future.</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following tables present the balance and activity related to the allowance for credit losses for held-for-investment loans by type for the periods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60" w:type="dxa"/>
            <w:vAlign w:val="bottom"/>
            <w:gridSpan w:val="5"/>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Provision for</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(Recapture of) Credit</w:t>
            </w:r>
          </w:p>
        </w:tc>
        <w:tc>
          <w:tcPr>
            <w:tcW w:w="12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0" w:type="dxa"/>
            <w:vAlign w:val="bottom"/>
          </w:tcPr>
          <w:p>
            <w:pPr>
              <w:spacing w:after="0"/>
              <w:rPr>
                <w:sz w:val="1"/>
                <w:szCs w:val="1"/>
                <w:color w:val="auto"/>
              </w:rPr>
            </w:pPr>
          </w:p>
        </w:tc>
      </w:tr>
      <w:tr>
        <w:trPr>
          <w:trHeight w:val="156"/>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3"/>
                <w:szCs w:val="13"/>
                <w:color w:val="auto"/>
              </w:rPr>
            </w:pPr>
          </w:p>
        </w:tc>
        <w:tc>
          <w:tcPr>
            <w:tcW w:w="1320" w:type="dxa"/>
            <w:vAlign w:val="bottom"/>
            <w:gridSpan w:val="2"/>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80" w:type="dxa"/>
            <w:vAlign w:val="bottom"/>
          </w:tcPr>
          <w:p>
            <w:pPr>
              <w:spacing w:after="0"/>
              <w:rPr>
                <w:sz w:val="13"/>
                <w:szCs w:val="13"/>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2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69,466</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(2,258)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42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(1,039)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66,237</w:t>
            </w:r>
          </w:p>
        </w:tc>
        <w:tc>
          <w:tcPr>
            <w:tcW w:w="0" w:type="dxa"/>
            <w:vAlign w:val="bottom"/>
          </w:tcPr>
          <w:p>
            <w:pPr>
              <w:spacing w:after="0"/>
              <w:rPr>
                <w:sz w:val="1"/>
                <w:szCs w:val="1"/>
                <w:color w:val="auto"/>
              </w:rPr>
            </w:pPr>
          </w:p>
        </w:tc>
      </w:tr>
      <w:tr>
        <w:trPr>
          <w:trHeight w:val="156"/>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(1,032)</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2,679</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(165 )</w:t>
            </w:r>
          </w:p>
        </w:tc>
        <w:tc>
          <w:tcPr>
            <w:tcW w:w="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9,116</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(1,981)</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(1,466)</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3,098</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3,610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(5 )</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(111 )</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(4 )</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FF0FC"/>
          </w:tcPr>
          <w:p>
            <w:pPr>
              <w:ind w:left="180"/>
              <w:spacing w:after="0" w:line="136" w:lineRule="exact"/>
              <w:rPr>
                <w:sz w:val="20"/>
                <w:szCs w:val="20"/>
                <w:color w:val="auto"/>
              </w:rPr>
            </w:pPr>
            <w:r>
              <w:rPr>
                <w:rFonts w:ascii="Times New Roman" w:cs="Times New Roman" w:eastAsia="Times New Roman" w:hAnsi="Times New Roman"/>
                <w:sz w:val="13"/>
                <w:szCs w:val="13"/>
                <w:color w:val="auto"/>
              </w:rPr>
              <w:t>Total allowance for credit losses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86,842</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FF0FC"/>
          </w:tcPr>
          <w:p>
            <w:pPr>
              <w:jc w:val="right"/>
              <w:ind w:right="94"/>
              <w:spacing w:after="0" w:line="136" w:lineRule="exact"/>
              <w:rPr>
                <w:sz w:val="20"/>
                <w:szCs w:val="20"/>
                <w:color w:val="auto"/>
              </w:rPr>
            </w:pPr>
            <w:r>
              <w:rPr>
                <w:rFonts w:ascii="Times New Roman" w:cs="Times New Roman" w:eastAsia="Times New Roman" w:hAnsi="Times New Roman"/>
                <w:sz w:val="9"/>
                <w:szCs w:val="9"/>
                <w:color w:val="auto"/>
              </w:rPr>
              <w:t xml:space="preserve">(4,408 </w:t>
            </w:r>
            <w:r>
              <w:rPr>
                <w:rFonts w:ascii="Times New Roman" w:cs="Times New Roman" w:eastAsia="Times New Roman" w:hAnsi="Times New Roman"/>
                <w:sz w:val="15"/>
                <w:szCs w:val="15"/>
                <w:color w:val="auto"/>
                <w:vertAlign w:val="subscript"/>
              </w:rPr>
              <w:t>)</w:t>
            </w:r>
          </w:p>
        </w:tc>
        <w:tc>
          <w:tcPr>
            <w:tcW w:w="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688</w:t>
            </w:r>
          </w:p>
        </w:tc>
        <w:tc>
          <w:tcPr>
            <w:tcW w:w="420" w:type="dxa"/>
            <w:vAlign w:val="bottom"/>
            <w:gridSpan w:val="2"/>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FF0FC"/>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 xml:space="preserve">(3,000 </w:t>
            </w:r>
            <w:r>
              <w:rPr>
                <w:rFonts w:ascii="Times New Roman" w:cs="Times New Roman" w:eastAsia="Times New Roman" w:hAnsi="Times New Roman"/>
                <w:sz w:val="15"/>
                <w:szCs w:val="15"/>
                <w:color w:val="auto"/>
                <w:vertAlign w:val="subscript"/>
              </w:rPr>
              <w:t>)</w:t>
            </w:r>
          </w:p>
        </w:tc>
        <w:tc>
          <w:tcPr>
            <w:tcW w:w="1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80,122</w:t>
            </w: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1" w:name="page112"/>
    <w:bookmarkEnd w:id="111"/>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60" w:type="dxa"/>
            <w:vAlign w:val="bottom"/>
          </w:tcPr>
          <w:p>
            <w:pPr>
              <w:spacing w:after="0"/>
              <w:rPr>
                <w:sz w:val="15"/>
                <w:szCs w:val="15"/>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Provision for</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(Recapture of) Credit</w:t>
            </w:r>
          </w:p>
        </w:tc>
        <w:tc>
          <w:tcPr>
            <w:tcW w:w="10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100" w:type="dxa"/>
            <w:vAlign w:val="bottom"/>
          </w:tcPr>
          <w:p>
            <w:pPr>
              <w:spacing w:after="0"/>
              <w:rPr>
                <w:sz w:val="13"/>
                <w:szCs w:val="13"/>
                <w:color w:val="auto"/>
              </w:rPr>
            </w:pPr>
          </w:p>
        </w:tc>
        <w:tc>
          <w:tcPr>
            <w:tcW w:w="152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64,806</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69,466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(437 )</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2,809</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(288 )</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 PPP</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10,206</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(109 )</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(995 )</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9,116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(1,333 )</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5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(86 )</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shd w:val="clear" w:color="auto" w:fill="CFF0FC"/>
          </w:tcPr>
          <w:p>
            <w:pPr>
              <w:spacing w:after="0"/>
              <w:rPr>
                <w:sz w:val="13"/>
                <w:szCs w:val="13"/>
                <w:color w:val="auto"/>
              </w:rPr>
            </w:pPr>
          </w:p>
        </w:tc>
        <w:tc>
          <w:tcPr>
            <w:tcW w:w="15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(63 )</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Total allowance for credit losses</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85,117</w:t>
            </w:r>
          </w:p>
        </w:tc>
        <w:tc>
          <w:tcPr>
            <w:tcW w:w="4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jc w:val="right"/>
              <w:ind w:right="94"/>
              <w:spacing w:after="0" w:line="136" w:lineRule="exact"/>
              <w:rPr>
                <w:sz w:val="20"/>
                <w:szCs w:val="20"/>
                <w:color w:val="auto"/>
              </w:rPr>
            </w:pPr>
            <w:r>
              <w:rPr>
                <w:rFonts w:ascii="Times New Roman" w:cs="Times New Roman" w:eastAsia="Times New Roman" w:hAnsi="Times New Roman"/>
                <w:sz w:val="9"/>
                <w:szCs w:val="9"/>
                <w:color w:val="auto"/>
              </w:rPr>
              <w:t xml:space="preserve">(405 </w:t>
            </w:r>
            <w:r>
              <w:rPr>
                <w:rFonts w:ascii="Times New Roman" w:cs="Times New Roman" w:eastAsia="Times New Roman" w:hAnsi="Times New Roman"/>
                <w:sz w:val="15"/>
                <w:szCs w:val="15"/>
                <w:color w:val="auto"/>
                <w:vertAlign w:val="subscript"/>
              </w:rPr>
              <w:t>)</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2,000</w:t>
            </w:r>
          </w:p>
        </w:tc>
        <w:tc>
          <w:tcPr>
            <w:tcW w:w="200" w:type="dxa"/>
            <w:vAlign w:val="bottom"/>
          </w:tcPr>
          <w:p>
            <w:pPr>
              <w:spacing w:after="0"/>
              <w:rPr>
                <w:sz w:val="13"/>
                <w:szCs w:val="13"/>
                <w:color w:val="auto"/>
              </w:rPr>
            </w:pP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86,842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7"/>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Initial ACL for</w:t>
            </w:r>
          </w:p>
        </w:tc>
        <w:tc>
          <w:tcPr>
            <w:tcW w:w="100" w:type="dxa"/>
            <w:vAlign w:val="bottom"/>
          </w:tcPr>
          <w:p>
            <w:pPr>
              <w:spacing w:after="0"/>
              <w:rPr>
                <w:sz w:val="13"/>
                <w:szCs w:val="13"/>
                <w:color w:val="auto"/>
              </w:rPr>
            </w:pP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8"/>
              </w:rPr>
              <w:t>Provision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Provision for</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PCD Loans at</w:t>
            </w:r>
          </w:p>
        </w:tc>
        <w:tc>
          <w:tcPr>
            <w:tcW w:w="100" w:type="dxa"/>
            <w:vAlign w:val="bottom"/>
          </w:tcPr>
          <w:p>
            <w:pPr>
              <w:spacing w:after="0"/>
              <w:rPr>
                <w:sz w:val="13"/>
                <w:szCs w:val="13"/>
                <w:color w:val="auto"/>
              </w:rPr>
            </w:pP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Recorded at</w:t>
            </w:r>
          </w:p>
        </w:tc>
        <w:tc>
          <w:tcPr>
            <w:tcW w:w="22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(Recapture of)</w:t>
            </w:r>
          </w:p>
        </w:tc>
        <w:tc>
          <w:tcPr>
            <w:tcW w:w="10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Ending Balance</w:t>
            </w:r>
          </w:p>
        </w:tc>
      </w:tr>
      <w:tr>
        <w:trPr>
          <w:trHeight w:val="156"/>
        </w:trPr>
        <w:tc>
          <w:tcPr>
            <w:tcW w:w="25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100" w:type="dxa"/>
            <w:vAlign w:val="bottom"/>
          </w:tcPr>
          <w:p>
            <w:pPr>
              <w:spacing w:after="0"/>
              <w:rPr>
                <w:sz w:val="13"/>
                <w:szCs w:val="13"/>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00" w:type="dxa"/>
            <w:vAlign w:val="bottom"/>
          </w:tcPr>
          <w:p>
            <w:pPr>
              <w:spacing w:after="0"/>
              <w:rPr>
                <w:sz w:val="13"/>
                <w:szCs w:val="13"/>
                <w:color w:val="auto"/>
              </w:rPr>
            </w:pP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22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Credit Losses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70"/>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50,950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64,806</w:t>
            </w: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1,702</w:t>
            </w:r>
          </w:p>
        </w:tc>
        <w:tc>
          <w:tcPr>
            <w:tcW w:w="80" w:type="dxa"/>
            <w:vAlign w:val="bottom"/>
          </w:tcPr>
          <w:p>
            <w:pPr>
              <w:spacing w:after="0"/>
              <w:rPr>
                <w:sz w:val="13"/>
                <w:szCs w:val="13"/>
                <w:color w:val="auto"/>
              </w:rPr>
            </w:pPr>
          </w:p>
        </w:tc>
      </w:tr>
      <w:tr>
        <w:trPr>
          <w:trHeight w:val="156"/>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(127 )</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2,809</w:t>
            </w:r>
          </w:p>
        </w:tc>
        <w:tc>
          <w:tcPr>
            <w:tcW w:w="80" w:type="dxa"/>
            <w:vAlign w:val="bottom"/>
            <w:shd w:val="clear" w:color="auto" w:fill="CFF0FC"/>
          </w:tcPr>
          <w:p>
            <w:pPr>
              <w:spacing w:after="0"/>
              <w:rPr>
                <w:sz w:val="13"/>
                <w:szCs w:val="13"/>
                <w:color w:val="auto"/>
              </w:rPr>
            </w:pP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 PPP</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10,206</w:t>
            </w: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(2,115)</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80" w:type="dxa"/>
            <w:vAlign w:val="bottom"/>
          </w:tcPr>
          <w:p>
            <w:pPr>
              <w:spacing w:after="0"/>
              <w:rPr>
                <w:sz w:val="13"/>
                <w:szCs w:val="13"/>
                <w:color w:val="auto"/>
              </w:rPr>
            </w:pPr>
          </w:p>
        </w:tc>
      </w:tr>
      <w:tr>
        <w:trPr>
          <w:trHeight w:val="144"/>
        </w:trPr>
        <w:tc>
          <w:tcPr>
            <w:tcW w:w="25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Municipal lease finance</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2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receivables</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FF0FC"/>
          </w:tcPr>
          <w:p>
            <w:pPr>
              <w:spacing w:after="0"/>
              <w:rPr>
                <w:sz w:val="14"/>
                <w:szCs w:val="14"/>
                <w:color w:val="auto"/>
              </w:rPr>
            </w:pP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tcPr>
          <w:p>
            <w:pPr>
              <w:spacing w:after="0"/>
              <w:rPr>
                <w:sz w:val="13"/>
                <w:szCs w:val="13"/>
                <w:color w:val="auto"/>
              </w:rPr>
            </w:pPr>
          </w:p>
        </w:tc>
      </w:tr>
      <w:tr>
        <w:trPr>
          <w:trHeight w:val="156"/>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80" w:type="dxa"/>
            <w:vAlign w:val="bottom"/>
            <w:shd w:val="clear" w:color="auto" w:fill="CFF0FC"/>
          </w:tcPr>
          <w:p>
            <w:pPr>
              <w:spacing w:after="0"/>
              <w:rPr>
                <w:sz w:val="13"/>
                <w:szCs w:val="13"/>
                <w:color w:val="auto"/>
              </w:rPr>
            </w:pPr>
          </w:p>
        </w:tc>
      </w:tr>
      <w:tr>
        <w:trPr>
          <w:trHeight w:val="156"/>
        </w:trPr>
        <w:tc>
          <w:tcPr>
            <w:tcW w:w="250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Total allowance for loan losses</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65,019</w:t>
            </w:r>
          </w:p>
        </w:tc>
        <w:tc>
          <w:tcPr>
            <w:tcW w:w="3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 xml:space="preserve">(197 </w:t>
            </w:r>
            <w:r>
              <w:rPr>
                <w:rFonts w:ascii="Times New Roman" w:cs="Times New Roman" w:eastAsia="Times New Roman" w:hAnsi="Times New Roman"/>
                <w:sz w:val="15"/>
                <w:szCs w:val="15"/>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1,090</w:t>
            </w:r>
          </w:p>
        </w:tc>
        <w:tc>
          <w:tcPr>
            <w:tcW w:w="3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8,605</w:t>
            </w:r>
          </w:p>
        </w:tc>
        <w:tc>
          <w:tcPr>
            <w:tcW w:w="220" w:type="dxa"/>
            <w:vAlign w:val="bottom"/>
          </w:tcPr>
          <w:p>
            <w:pPr>
              <w:spacing w:after="0"/>
              <w:rPr>
                <w:sz w:val="13"/>
                <w:szCs w:val="13"/>
                <w:color w:val="auto"/>
              </w:rPr>
            </w:pP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4,932</w:t>
            </w: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5,668</w:t>
            </w:r>
          </w:p>
        </w:tc>
        <w:tc>
          <w:tcPr>
            <w:tcW w:w="200" w:type="dxa"/>
            <w:vAlign w:val="bottom"/>
          </w:tcPr>
          <w:p>
            <w:pPr>
              <w:spacing w:after="0"/>
              <w:rPr>
                <w:sz w:val="13"/>
                <w:szCs w:val="13"/>
                <w:color w:val="auto"/>
              </w:rPr>
            </w:pPr>
          </w:p>
        </w:tc>
        <w:tc>
          <w:tcPr>
            <w:tcW w:w="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85,117</w:t>
            </w:r>
          </w:p>
        </w:tc>
      </w:tr>
      <w:tr>
        <w:trPr>
          <w:trHeight w:val="20"/>
        </w:trPr>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Past Due and Nonperforming Loans</w:t>
      </w:r>
    </w:p>
    <w:p>
      <w:pPr>
        <w:spacing w:after="0" w:line="156"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included herein, for additional discussion concerning the Bank’s policy for past due and nonperforming loans.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2" w:name="page113"/>
    <w:bookmarkEnd w:id="112"/>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following table presents the recorded investment in, and the aging of, past due loans (including nonaccrual loans), by type of loans as of the date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gridSpan w:val="5"/>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Greater than 89</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 Loans and</w:t>
            </w:r>
          </w:p>
        </w:tc>
      </w:tr>
      <w:tr>
        <w:trPr>
          <w:trHeight w:val="156"/>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9"/>
              </w:rPr>
              <w:t>30-59 Days Past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60-89 Days Past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Loans Not Past</w:t>
            </w:r>
          </w:p>
        </w:tc>
        <w:tc>
          <w:tcPr>
            <w:tcW w:w="10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Financing</w:t>
            </w:r>
          </w:p>
        </w:tc>
      </w:tr>
      <w:tr>
        <w:trPr>
          <w:trHeight w:val="156"/>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Due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Due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0" w:type="dxa"/>
            <w:vAlign w:val="bottom"/>
          </w:tcPr>
          <w:p>
            <w:pPr>
              <w:spacing w:after="0"/>
              <w:rPr>
                <w:sz w:val="13"/>
                <w:szCs w:val="1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0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Receivables</w:t>
            </w:r>
          </w:p>
        </w:tc>
      </w:tr>
      <w:tr>
        <w:trPr>
          <w:trHeight w:val="170"/>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7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Owner occupied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2,329,380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2,329,576</w:t>
            </w:r>
          </w:p>
        </w:tc>
        <w:tc>
          <w:tcPr>
            <w:tcW w:w="80" w:type="dxa"/>
            <w:vAlign w:val="bottom"/>
          </w:tcPr>
          <w:p>
            <w:pPr>
              <w:spacing w:after="0"/>
              <w:rPr>
                <w:sz w:val="13"/>
                <w:szCs w:val="13"/>
                <w:color w:val="auto"/>
              </w:rPr>
            </w:pPr>
          </w:p>
        </w:tc>
      </w:tr>
      <w:tr>
        <w:trPr>
          <w:trHeight w:val="156"/>
        </w:trPr>
        <w:tc>
          <w:tcPr>
            <w:tcW w:w="2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Non-owner occupied</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24,430</w:t>
            </w:r>
          </w:p>
        </w:tc>
        <w:tc>
          <w:tcPr>
            <w:tcW w:w="1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24,430</w:t>
            </w: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4,153,446</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4,177,876</w:t>
            </w:r>
          </w:p>
        </w:tc>
        <w:tc>
          <w:tcPr>
            <w:tcW w:w="80" w:type="dxa"/>
            <w:vAlign w:val="bottom"/>
            <w:shd w:val="clear" w:color="auto" w:fill="CFF0FC"/>
          </w:tcPr>
          <w:p>
            <w:pPr>
              <w:spacing w:after="0"/>
              <w:rPr>
                <w:sz w:val="13"/>
                <w:szCs w:val="13"/>
                <w:color w:val="auto"/>
              </w:rPr>
            </w:pPr>
          </w:p>
        </w:tc>
      </w:tr>
      <w:tr>
        <w:trPr>
          <w:trHeight w:val="156"/>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Speculative (1)</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8,091</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8,091</w:t>
            </w:r>
          </w:p>
        </w:tc>
        <w:tc>
          <w:tcPr>
            <w:tcW w:w="80" w:type="dxa"/>
            <w:vAlign w:val="bottom"/>
            <w:shd w:val="clear" w:color="auto" w:fill="CFF0FC"/>
          </w:tcPr>
          <w:p>
            <w:pPr>
              <w:spacing w:after="0"/>
              <w:rPr>
                <w:sz w:val="13"/>
                <w:szCs w:val="13"/>
                <w:color w:val="auto"/>
              </w:rPr>
            </w:pPr>
          </w:p>
        </w:tc>
      </w:tr>
      <w:tr>
        <w:trPr>
          <w:trHeight w:val="156"/>
        </w:trPr>
        <w:tc>
          <w:tcPr>
            <w:tcW w:w="2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Non-speculative</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7,991</w:t>
            </w:r>
          </w:p>
        </w:tc>
        <w:tc>
          <w:tcPr>
            <w:tcW w:w="80" w:type="dxa"/>
            <w:vAlign w:val="bottom"/>
          </w:tcPr>
          <w:p>
            <w:pPr>
              <w:spacing w:after="0"/>
              <w:rPr>
                <w:sz w:val="13"/>
                <w:szCs w:val="13"/>
                <w:color w:val="auto"/>
              </w:rPr>
            </w:pPr>
          </w:p>
        </w:tc>
      </w:tr>
      <w:tr>
        <w:trPr>
          <w:trHeight w:val="156"/>
        </w:trPr>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SBA</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271,396</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273,013</w:t>
            </w:r>
          </w:p>
        </w:tc>
        <w:tc>
          <w:tcPr>
            <w:tcW w:w="80" w:type="dxa"/>
            <w:vAlign w:val="bottom"/>
            <w:shd w:val="clear" w:color="auto" w:fill="CFF0FC"/>
          </w:tcPr>
          <w:p>
            <w:pPr>
              <w:spacing w:after="0"/>
              <w:rPr>
                <w:sz w:val="13"/>
                <w:szCs w:val="13"/>
                <w:color w:val="auto"/>
              </w:rPr>
            </w:pPr>
          </w:p>
        </w:tc>
      </w:tr>
      <w:tr>
        <w:trPr>
          <w:trHeight w:val="156"/>
        </w:trPr>
        <w:tc>
          <w:tcPr>
            <w:tcW w:w="2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SBA - PPP</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80" w:type="dxa"/>
            <w:vAlign w:val="bottom"/>
          </w:tcPr>
          <w:p>
            <w:pPr>
              <w:spacing w:after="0"/>
              <w:rPr>
                <w:sz w:val="13"/>
                <w:szCs w:val="13"/>
                <w:color w:val="auto"/>
              </w:rPr>
            </w:pPr>
          </w:p>
        </w:tc>
      </w:tr>
      <w:tr>
        <w:trPr>
          <w:trHeight w:val="156"/>
        </w:trPr>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924,639</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925,178</w:t>
            </w:r>
          </w:p>
        </w:tc>
        <w:tc>
          <w:tcPr>
            <w:tcW w:w="80" w:type="dxa"/>
            <w:vAlign w:val="bottom"/>
            <w:shd w:val="clear" w:color="auto" w:fill="CFF0FC"/>
          </w:tcPr>
          <w:p>
            <w:pPr>
              <w:spacing w:after="0"/>
              <w:rPr>
                <w:sz w:val="13"/>
                <w:szCs w:val="13"/>
                <w:color w:val="auto"/>
              </w:rPr>
            </w:pPr>
          </w:p>
        </w:tc>
      </w:tr>
      <w:tr>
        <w:trPr>
          <w:trHeight w:val="156"/>
        </w:trPr>
        <w:tc>
          <w:tcPr>
            <w:tcW w:w="2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419,844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419,904</w:t>
            </w:r>
          </w:p>
        </w:tc>
        <w:tc>
          <w:tcPr>
            <w:tcW w:w="80" w:type="dxa"/>
            <w:vAlign w:val="bottom"/>
          </w:tcPr>
          <w:p>
            <w:pPr>
              <w:spacing w:after="0"/>
              <w:rPr>
                <w:sz w:val="13"/>
                <w:szCs w:val="13"/>
                <w:color w:val="auto"/>
              </w:rPr>
            </w:pPr>
          </w:p>
        </w:tc>
      </w:tr>
      <w:tr>
        <w:trPr>
          <w:trHeight w:val="156"/>
        </w:trPr>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66,114</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66,114</w:t>
            </w:r>
          </w:p>
        </w:tc>
      </w:tr>
      <w:tr>
        <w:trPr>
          <w:trHeight w:val="156"/>
        </w:trPr>
        <w:tc>
          <w:tcPr>
            <w:tcW w:w="2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SFR mortgage</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269,172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269,172</w:t>
            </w:r>
          </w:p>
        </w:tc>
        <w:tc>
          <w:tcPr>
            <w:tcW w:w="80" w:type="dxa"/>
            <w:vAlign w:val="bottom"/>
          </w:tcPr>
          <w:p>
            <w:pPr>
              <w:spacing w:after="0"/>
              <w:rPr>
                <w:sz w:val="13"/>
                <w:szCs w:val="13"/>
                <w:color w:val="auto"/>
              </w:rPr>
            </w:pPr>
          </w:p>
        </w:tc>
      </w:tr>
      <w:tr>
        <w:trPr>
          <w:trHeight w:val="156"/>
        </w:trPr>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58,743</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58,743</w:t>
            </w:r>
          </w:p>
        </w:tc>
      </w:tr>
      <w:tr>
        <w:trPr>
          <w:trHeight w:val="156"/>
        </w:trPr>
        <w:tc>
          <w:tcPr>
            <w:tcW w:w="2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gross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26,253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26,842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8,509,590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8,536,432</w:t>
            </w:r>
          </w:p>
        </w:tc>
        <w:tc>
          <w:tcPr>
            <w:tcW w:w="80" w:type="dxa"/>
            <w:vAlign w:val="bottom"/>
          </w:tcPr>
          <w:p>
            <w:pPr>
              <w:spacing w:after="0"/>
              <w:rPr>
                <w:sz w:val="13"/>
                <w:szCs w:val="13"/>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(1)Speculative construction loans are generally for properties where there is no identified buyer or renter.</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Greater than 89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 Loans and</w:t>
            </w: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9"/>
              </w:rPr>
              <w:t>60-89 Days Past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Days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9"/>
              </w:rPr>
              <w:t>Loans Not Past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30-59 Days Past Due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Due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Due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0" w:type="dxa"/>
            <w:vAlign w:val="bottom"/>
          </w:tcPr>
          <w:p>
            <w:pPr>
              <w:spacing w:after="0"/>
              <w:rPr>
                <w:sz w:val="1"/>
                <w:szCs w:val="1"/>
                <w:color w:val="auto"/>
              </w:rPr>
            </w:pPr>
          </w:p>
        </w:tc>
      </w:tr>
      <w:tr>
        <w:trPr>
          <w:trHeight w:val="170"/>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right"/>
              <w:ind w:right="57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5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Owner occupied</w:t>
            </w: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2,430,447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2,433,252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Non-owner occupied</w:t>
            </w:r>
          </w:p>
        </w:tc>
        <w:tc>
          <w:tcPr>
            <w:tcW w:w="5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4,350,706</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4,351,253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Speculative (1)</w:t>
            </w:r>
          </w:p>
        </w:tc>
        <w:tc>
          <w:tcPr>
            <w:tcW w:w="5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57,921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57,921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Non-speculative</w:t>
            </w:r>
          </w:p>
        </w:tc>
        <w:tc>
          <w:tcPr>
            <w:tcW w:w="5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SBA</w:t>
            </w:r>
          </w:p>
        </w:tc>
        <w:tc>
          <w:tcPr>
            <w:tcW w:w="5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269,542</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270,619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SBA - PPP</w:t>
            </w:r>
          </w:p>
        </w:tc>
        <w:tc>
          <w:tcPr>
            <w:tcW w:w="5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80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54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965,630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969,895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800" w:type="dxa"/>
            <w:vAlign w:val="bottom"/>
            <w:vMerge w:val="continue"/>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8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5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412,891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412,891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5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73,590</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73,590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SFR mortgage</w:t>
            </w:r>
          </w:p>
        </w:tc>
        <w:tc>
          <w:tcPr>
            <w:tcW w:w="5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269,667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Consumer and other loans</w:t>
            </w:r>
          </w:p>
        </w:tc>
        <w:tc>
          <w:tcPr>
            <w:tcW w:w="5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54,054</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54,072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gross loans</w:t>
            </w: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8,895,997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8,904,910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40" w:hanging="214"/>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Speculative construction loans are generally for properties where there is no identified buyer or renter.</w:t>
      </w:r>
    </w:p>
    <w:p>
      <w:pPr>
        <w:spacing w:after="0" w:line="282" w:lineRule="exact"/>
        <w:rPr>
          <w:rFonts w:ascii="Times New Roman" w:cs="Times New Roman" w:eastAsia="Times New Roman" w:hAnsi="Times New Roman"/>
          <w:sz w:val="14"/>
          <w:szCs w:val="14"/>
          <w:color w:val="auto"/>
        </w:rPr>
      </w:pPr>
    </w:p>
    <w:p>
      <w:pPr>
        <w:ind w:left="5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3" w:name="page114"/>
    <w:bookmarkEnd w:id="113"/>
    <w:p>
      <w:pPr>
        <w:spacing w:after="0" w:line="137" w:lineRule="exact"/>
        <w:rPr>
          <w:sz w:val="20"/>
          <w:szCs w:val="20"/>
          <w:color w:val="auto"/>
        </w:rPr>
      </w:pPr>
    </w:p>
    <w:p>
      <w:pPr>
        <w:ind w:right="120" w:firstLine="696"/>
        <w:spacing w:after="0" w:line="259" w:lineRule="auto"/>
        <w:rPr>
          <w:sz w:val="20"/>
          <w:szCs w:val="20"/>
          <w:color w:val="auto"/>
        </w:rPr>
      </w:pPr>
      <w:r>
        <w:rPr>
          <w:rFonts w:ascii="Times New Roman" w:cs="Times New Roman" w:eastAsia="Times New Roman" w:hAnsi="Times New Roman"/>
          <w:sz w:val="16"/>
          <w:szCs w:val="16"/>
          <w:color w:val="auto"/>
        </w:rPr>
        <w:t>Amortized cost of our finance receivables and loans that are on nonaccrual status, including loans with no allowance are presented as of December 31, 2024 and December 31, 2023 by type of loan.</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Nonaccrual with No</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Allowance for Credit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Total Nonaccrual</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Loans Past Due Over 89</w:t>
            </w: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Days Still Accruing</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Owner occupied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2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3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Non-owner occupied</w:t>
            </w:r>
          </w:p>
        </w:tc>
        <w:tc>
          <w:tcPr>
            <w:tcW w:w="12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24,430</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24,430</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Speculative (2)</w:t>
            </w:r>
          </w:p>
        </w:tc>
        <w:tc>
          <w:tcPr>
            <w:tcW w:w="12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Non-speculative</w:t>
            </w:r>
          </w:p>
        </w:tc>
        <w:tc>
          <w:tcPr>
            <w:tcW w:w="120" w:type="dxa"/>
            <w:vAlign w:val="bottom"/>
          </w:tcPr>
          <w:p>
            <w:pPr>
              <w:spacing w:after="0"/>
              <w:rPr>
                <w:sz w:val="13"/>
                <w:szCs w:val="1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SBA</w:t>
            </w: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1,529</w:t>
            </w: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SBA - PPP</w:t>
            </w:r>
          </w:p>
        </w:tc>
        <w:tc>
          <w:tcPr>
            <w:tcW w:w="120" w:type="dxa"/>
            <w:vAlign w:val="bottom"/>
          </w:tcPr>
          <w:p>
            <w:pPr>
              <w:spacing w:after="0"/>
              <w:rPr>
                <w:sz w:val="13"/>
                <w:szCs w:val="1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12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SFR mortgage</w:t>
            </w:r>
          </w:p>
        </w:tc>
        <w:tc>
          <w:tcPr>
            <w:tcW w:w="120" w:type="dxa"/>
            <w:vAlign w:val="bottom"/>
          </w:tcPr>
          <w:p>
            <w:pPr>
              <w:spacing w:after="0"/>
              <w:rPr>
                <w:sz w:val="13"/>
                <w:szCs w:val="1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2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27,273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27,795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(1)As of December 31, 2024, $1.4 million of nonaccruing loans were current, $102,000 were 60-89 days past due, and $26.3 million were 90+ days past due.</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(2)Speculative construction loans are generally for properties where there is no identified buyer or renter.</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Nonaccrual with No Allowance</w:t>
            </w:r>
          </w:p>
        </w:tc>
        <w:tc>
          <w:tcPr>
            <w:tcW w:w="200" w:type="dxa"/>
            <w:vAlign w:val="bottom"/>
          </w:tcPr>
          <w:p>
            <w:pPr>
              <w:spacing w:after="0"/>
              <w:rPr>
                <w:sz w:val="13"/>
                <w:szCs w:val="13"/>
                <w:color w:val="auto"/>
              </w:rPr>
            </w:pPr>
          </w:p>
        </w:tc>
        <w:tc>
          <w:tcPr>
            <w:tcW w:w="152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Total Nonaccrual</w:t>
            </w:r>
          </w:p>
        </w:tc>
        <w:tc>
          <w:tcPr>
            <w:tcW w:w="260" w:type="dxa"/>
            <w:vAlign w:val="bottom"/>
          </w:tcPr>
          <w:p>
            <w:pPr>
              <w:spacing w:after="0"/>
              <w:rPr>
                <w:sz w:val="13"/>
                <w:szCs w:val="13"/>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Loans Past Due Over</w:t>
            </w:r>
          </w:p>
        </w:tc>
      </w:tr>
      <w:tr>
        <w:trPr>
          <w:trHeight w:val="156"/>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for Credit Losses</w:t>
            </w:r>
          </w:p>
        </w:tc>
        <w:tc>
          <w:tcPr>
            <w:tcW w:w="132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(1)</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89 Days Still Accruing</w:t>
            </w:r>
          </w:p>
        </w:tc>
      </w:tr>
      <w:tr>
        <w:trPr>
          <w:trHeight w:val="170"/>
        </w:trPr>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8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6"/>
        </w:trPr>
        <w:tc>
          <w:tcPr>
            <w:tcW w:w="5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Owner occupied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w:t>
            </w:r>
          </w:p>
        </w:tc>
        <w:tc>
          <w:tcPr>
            <w:tcW w:w="1320" w:type="dxa"/>
            <w:vAlign w:val="bottom"/>
            <w:gridSpan w:val="2"/>
          </w:tcPr>
          <w:p>
            <w:pPr>
              <w:jc w:val="right"/>
              <w:ind w:right="97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w:t>
            </w:r>
          </w:p>
        </w:tc>
        <w:tc>
          <w:tcPr>
            <w:tcW w:w="900" w:type="dxa"/>
            <w:vAlign w:val="bottom"/>
            <w:gridSpan w:val="2"/>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Non-owner occupied</w:t>
            </w:r>
          </w:p>
        </w:tc>
        <w:tc>
          <w:tcPr>
            <w:tcW w:w="80" w:type="dxa"/>
            <w:vAlign w:val="bottom"/>
            <w:shd w:val="clear" w:color="auto" w:fill="CFF0FC"/>
          </w:tcPr>
          <w:p>
            <w:pPr>
              <w:spacing w:after="0"/>
              <w:rPr>
                <w:sz w:val="13"/>
                <w:szCs w:val="13"/>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12,935</w:t>
            </w:r>
          </w:p>
        </w:tc>
        <w:tc>
          <w:tcPr>
            <w:tcW w:w="2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Speculative (2)</w:t>
            </w:r>
          </w:p>
        </w:tc>
        <w:tc>
          <w:tcPr>
            <w:tcW w:w="80" w:type="dxa"/>
            <w:vAlign w:val="bottom"/>
            <w:shd w:val="clear" w:color="auto" w:fill="CFF0FC"/>
          </w:tcPr>
          <w:p>
            <w:pPr>
              <w:spacing w:after="0"/>
              <w:rPr>
                <w:sz w:val="13"/>
                <w:szCs w:val="13"/>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Non-speculative</w:t>
            </w:r>
          </w:p>
        </w:tc>
        <w:tc>
          <w:tcPr>
            <w:tcW w:w="8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SBA</w:t>
            </w:r>
          </w:p>
        </w:tc>
        <w:tc>
          <w:tcPr>
            <w:tcW w:w="80" w:type="dxa"/>
            <w:vAlign w:val="bottom"/>
            <w:shd w:val="clear" w:color="auto" w:fill="CFF0FC"/>
          </w:tcPr>
          <w:p>
            <w:pPr>
              <w:spacing w:after="0"/>
              <w:rPr>
                <w:sz w:val="13"/>
                <w:szCs w:val="13"/>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2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SBA - PPP</w:t>
            </w:r>
          </w:p>
        </w:tc>
        <w:tc>
          <w:tcPr>
            <w:tcW w:w="8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 w:type="dxa"/>
            <w:vAlign w:val="bottom"/>
            <w:shd w:val="clear" w:color="auto" w:fill="CFF0FC"/>
          </w:tcPr>
          <w:p>
            <w:pPr>
              <w:spacing w:after="0"/>
              <w:rPr>
                <w:sz w:val="13"/>
                <w:szCs w:val="13"/>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908</w:t>
            </w: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4,509</w:t>
            </w:r>
          </w:p>
        </w:tc>
        <w:tc>
          <w:tcPr>
            <w:tcW w:w="2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8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80" w:type="dxa"/>
            <w:vAlign w:val="bottom"/>
            <w:shd w:val="clear" w:color="auto" w:fill="CFF0FC"/>
          </w:tcPr>
          <w:p>
            <w:pPr>
              <w:spacing w:after="0"/>
              <w:rPr>
                <w:sz w:val="13"/>
                <w:szCs w:val="13"/>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SFR mortgage</w:t>
            </w:r>
          </w:p>
        </w:tc>
        <w:tc>
          <w:tcPr>
            <w:tcW w:w="8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Consumer and other loans</w:t>
            </w:r>
          </w:p>
        </w:tc>
        <w:tc>
          <w:tcPr>
            <w:tcW w:w="80" w:type="dxa"/>
            <w:vAlign w:val="bottom"/>
            <w:shd w:val="clear" w:color="auto" w:fill="CFF0FC"/>
          </w:tcPr>
          <w:p>
            <w:pPr>
              <w:spacing w:after="0"/>
              <w:rPr>
                <w:sz w:val="13"/>
                <w:szCs w:val="13"/>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loans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5,131</w:t>
            </w:r>
          </w:p>
        </w:tc>
        <w:tc>
          <w:tcPr>
            <w:tcW w:w="1320" w:type="dxa"/>
            <w:vAlign w:val="bottom"/>
            <w:gridSpan w:val="2"/>
          </w:tcPr>
          <w:p>
            <w:pPr>
              <w:jc w:val="right"/>
              <w:ind w:right="97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21,302</w:t>
            </w:r>
          </w:p>
        </w:tc>
        <w:tc>
          <w:tcPr>
            <w:tcW w:w="900" w:type="dxa"/>
            <w:vAlign w:val="bottom"/>
            <w:gridSpan w:val="2"/>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(1)As of December 31, 2023, $13.0 million of nonaccruing loans were current, $16,000 were 30-59 days past due, and $8.3 million were 90+ days past due.</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(2)Speculative construction loans are generally for properties where there is no identified buyer or renter.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4" w:name="page115"/>
    <w:bookmarkEnd w:id="114"/>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Collateral Dependent Loans</w:t>
      </w:r>
    </w:p>
    <w:p>
      <w:pPr>
        <w:spacing w:after="0" w:line="72" w:lineRule="exact"/>
        <w:rPr>
          <w:sz w:val="20"/>
          <w:szCs w:val="20"/>
          <w:color w:val="auto"/>
        </w:rPr>
      </w:pPr>
    </w:p>
    <w:p>
      <w:pPr>
        <w:ind w:right="500" w:firstLine="600"/>
        <w:spacing w:after="0" w:line="247" w:lineRule="auto"/>
        <w:rPr>
          <w:sz w:val="20"/>
          <w:szCs w:val="20"/>
          <w:color w:val="auto"/>
        </w:rPr>
      </w:pPr>
      <w:r>
        <w:rPr>
          <w:rFonts w:ascii="Times New Roman" w:cs="Times New Roman" w:eastAsia="Times New Roman" w:hAnsi="Times New Roman"/>
          <w:sz w:val="16"/>
          <w:szCs w:val="16"/>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Number of Loans</w:t>
            </w:r>
          </w:p>
        </w:tc>
      </w:tr>
      <w:tr>
        <w:trPr>
          <w:trHeight w:val="156"/>
        </w:trPr>
        <w:tc>
          <w:tcPr>
            <w:tcW w:w="3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Dependent on</w:t>
            </w:r>
          </w:p>
        </w:tc>
      </w:tr>
      <w:tr>
        <w:trPr>
          <w:trHeight w:val="156"/>
        </w:trPr>
        <w:tc>
          <w:tcPr>
            <w:tcW w:w="38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Business Assets</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4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Collateral</w:t>
            </w:r>
          </w:p>
        </w:tc>
      </w:tr>
      <w:tr>
        <w:trPr>
          <w:trHeight w:val="170"/>
        </w:trPr>
        <w:tc>
          <w:tcPr>
            <w:tcW w:w="3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1060" w:type="dxa"/>
            <w:vAlign w:val="bottom"/>
            <w:shd w:val="clear" w:color="auto" w:fill="CFF0FC"/>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25,866</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FF0FC"/>
          </w:tcPr>
          <w:p>
            <w:pPr>
              <w:spacing w:after="0"/>
              <w:rPr>
                <w:sz w:val="13"/>
                <w:szCs w:val="13"/>
                <w:color w:val="auto"/>
              </w:rPr>
            </w:pPr>
          </w:p>
        </w:tc>
      </w:tr>
      <w:tr>
        <w:trPr>
          <w:trHeight w:val="156"/>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106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10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1,529</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FF0FC"/>
          </w:tcPr>
          <w:p>
            <w:pPr>
              <w:spacing w:after="0"/>
              <w:rPr>
                <w:sz w:val="13"/>
                <w:szCs w:val="13"/>
                <w:color w:val="auto"/>
              </w:rPr>
            </w:pPr>
          </w:p>
        </w:tc>
      </w:tr>
      <w:tr>
        <w:trPr>
          <w:trHeight w:val="156"/>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 PPP</w:t>
            </w:r>
          </w:p>
        </w:tc>
        <w:tc>
          <w:tcPr>
            <w:tcW w:w="106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FF0FC"/>
          </w:tcPr>
          <w:p>
            <w:pPr>
              <w:spacing w:after="0"/>
              <w:rPr>
                <w:sz w:val="13"/>
                <w:szCs w:val="13"/>
                <w:color w:val="auto"/>
              </w:rPr>
            </w:pPr>
          </w:p>
        </w:tc>
      </w:tr>
      <w:tr>
        <w:trPr>
          <w:trHeight w:val="156"/>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r>
      <w:tr>
        <w:trPr>
          <w:trHeight w:val="15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106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106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6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86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Total collateral-dependent loans</w:t>
            </w:r>
          </w:p>
        </w:tc>
        <w:tc>
          <w:tcPr>
            <w:tcW w:w="1060" w:type="dxa"/>
            <w:vAlign w:val="bottom"/>
          </w:tcPr>
          <w:p>
            <w:pPr>
              <w:jc w:val="right"/>
              <w:ind w:right="9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27,466</w:t>
            </w:r>
          </w:p>
        </w:tc>
        <w:tc>
          <w:tcPr>
            <w:tcW w:w="38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327</w:t>
            </w:r>
          </w:p>
        </w:tc>
        <w:tc>
          <w:tcPr>
            <w:tcW w:w="800" w:type="dxa"/>
            <w:vAlign w:val="bottom"/>
            <w:gridSpan w:val="2"/>
          </w:tcPr>
          <w:p>
            <w:pPr>
              <w:jc w:val="right"/>
              <w:ind w:right="4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76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3"/>
                <w:szCs w:val="13"/>
                <w:color w:val="auto"/>
              </w:rPr>
            </w:pPr>
          </w:p>
        </w:tc>
      </w:tr>
      <w:tr>
        <w:trPr>
          <w:trHeight w:val="20"/>
        </w:trPr>
        <w:tc>
          <w:tcPr>
            <w:tcW w:w="3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 Loans</w:t>
            </w:r>
          </w:p>
        </w:tc>
      </w:tr>
      <w:tr>
        <w:trPr>
          <w:trHeight w:val="156"/>
        </w:trPr>
        <w:tc>
          <w:tcPr>
            <w:tcW w:w="3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Dependent on</w:t>
            </w:r>
          </w:p>
        </w:tc>
      </w:tr>
      <w:tr>
        <w:trPr>
          <w:trHeight w:val="156"/>
        </w:trPr>
        <w:tc>
          <w:tcPr>
            <w:tcW w:w="38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Business Assets</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8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Collateral</w:t>
            </w:r>
          </w:p>
        </w:tc>
      </w:tr>
      <w:tr>
        <w:trPr>
          <w:trHeight w:val="170"/>
        </w:trPr>
        <w:tc>
          <w:tcPr>
            <w:tcW w:w="3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1020" w:type="dxa"/>
            <w:vAlign w:val="bottom"/>
            <w:shd w:val="clear" w:color="auto" w:fill="CFF0FC"/>
          </w:tcPr>
          <w:p>
            <w:pPr>
              <w:jc w:val="right"/>
              <w:ind w:right="901"/>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4"/>
              </w:rPr>
              <w:t>15,440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3"/>
                <w:szCs w:val="13"/>
                <w:color w:val="auto"/>
              </w:rPr>
            </w:pPr>
          </w:p>
        </w:tc>
      </w:tr>
      <w:tr>
        <w:trPr>
          <w:trHeight w:val="156"/>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10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10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3"/>
                <w:szCs w:val="13"/>
                <w:color w:val="auto"/>
              </w:rPr>
            </w:pPr>
          </w:p>
        </w:tc>
      </w:tr>
      <w:tr>
        <w:trPr>
          <w:trHeight w:val="156"/>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 PPP</w:t>
            </w:r>
          </w:p>
        </w:tc>
        <w:tc>
          <w:tcPr>
            <w:tcW w:w="10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2,950</w:t>
            </w: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FF0FC"/>
          </w:tcPr>
          <w:p>
            <w:pPr>
              <w:spacing w:after="0"/>
              <w:rPr>
                <w:sz w:val="13"/>
                <w:szCs w:val="13"/>
                <w:color w:val="auto"/>
              </w:rPr>
            </w:pPr>
          </w:p>
        </w:tc>
      </w:tr>
      <w:tr>
        <w:trPr>
          <w:trHeight w:val="156"/>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r>
      <w:tr>
        <w:trPr>
          <w:trHeight w:val="15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10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10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r>
      <w:tr>
        <w:trPr>
          <w:trHeight w:val="15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88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Total collateral-dependent loans</w:t>
            </w:r>
          </w:p>
        </w:tc>
        <w:tc>
          <w:tcPr>
            <w:tcW w:w="1020" w:type="dxa"/>
            <w:vAlign w:val="bottom"/>
          </w:tcPr>
          <w:p>
            <w:pPr>
              <w:jc w:val="right"/>
              <w:ind w:right="901"/>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4"/>
              </w:rPr>
              <w:t>16,965</w:t>
            </w:r>
          </w:p>
        </w:tc>
        <w:tc>
          <w:tcPr>
            <w:tcW w:w="4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3,170</w:t>
            </w:r>
          </w:p>
        </w:tc>
        <w:tc>
          <w:tcPr>
            <w:tcW w:w="800" w:type="dxa"/>
            <w:vAlign w:val="bottom"/>
            <w:gridSpan w:val="2"/>
          </w:tcPr>
          <w:p>
            <w:pPr>
              <w:jc w:val="right"/>
              <w:ind w:right="4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1,167</w:t>
            </w:r>
          </w:p>
        </w:tc>
        <w:tc>
          <w:tcPr>
            <w:tcW w:w="1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3"/>
                <w:szCs w:val="13"/>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Reserve for Unfunded Loan Commitments</w:t>
      </w:r>
    </w:p>
    <w:p>
      <w:pPr>
        <w:spacing w:after="0" w:line="156" w:lineRule="exact"/>
        <w:rPr>
          <w:sz w:val="20"/>
          <w:szCs w:val="20"/>
          <w:color w:val="auto"/>
        </w:rPr>
      </w:pPr>
    </w:p>
    <w:p>
      <w:pPr>
        <w:ind w:right="140" w:firstLine="588"/>
        <w:spacing w:after="0" w:line="239" w:lineRule="auto"/>
        <w:rPr>
          <w:sz w:val="20"/>
          <w:szCs w:val="20"/>
          <w:color w:val="auto"/>
        </w:rPr>
      </w:pPr>
      <w:r>
        <w:rPr>
          <w:rFonts w:ascii="Times New Roman" w:cs="Times New Roman" w:eastAsia="Times New Roman" w:hAnsi="Times New Roman"/>
          <w:sz w:val="16"/>
          <w:szCs w:val="16"/>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$ 6.3 million for the off-balance sheet credit exposures as of December 31, 2024. There was $1.25 million in recapture of provision for unfunded loan commitments for the year ended December 31, 2024 and $0.5 million in recapture of provision for the year ended December 31, 2023. As of December 31, 2024 and December 31, 2023 the balance in this reserve was $6.3 million and $7.5 million, respectively, and was included in other liabilities.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Modifications of Loans to Borrowers Experiencing Financial Difficulty</w:t>
      </w:r>
    </w:p>
    <w:p>
      <w:pPr>
        <w:spacing w:after="0" w:line="178" w:lineRule="exact"/>
        <w:rPr>
          <w:sz w:val="20"/>
          <w:szCs w:val="20"/>
          <w:color w:val="auto"/>
        </w:rPr>
      </w:pPr>
    </w:p>
    <w:p>
      <w:pPr>
        <w:ind w:right="120" w:firstLine="432"/>
        <w:spacing w:after="0" w:line="248" w:lineRule="auto"/>
        <w:rPr>
          <w:sz w:val="20"/>
          <w:szCs w:val="20"/>
          <w:color w:val="auto"/>
        </w:rPr>
      </w:pPr>
      <w:r>
        <w:rPr>
          <w:rFonts w:ascii="Times New Roman" w:cs="Times New Roman" w:eastAsia="Times New Roman" w:hAnsi="Times New Roman"/>
          <w:sz w:val="16"/>
          <w:szCs w:val="16"/>
          <w:color w:val="auto"/>
        </w:rPr>
        <w:t xml:space="preserve">The Company adopted Accounting Standards Update 2022-02, </w:t>
      </w:r>
      <w:r>
        <w:rPr>
          <w:rFonts w:ascii="Times New Roman" w:cs="Times New Roman" w:eastAsia="Times New Roman" w:hAnsi="Times New Roman"/>
          <w:sz w:val="16"/>
          <w:szCs w:val="16"/>
          <w:i w:val="1"/>
          <w:iCs w:val="1"/>
          <w:color w:val="auto"/>
        </w:rPr>
        <w:t>Financial Instruments - Credit Losses (Topic 326) Troubled Debt Restructurings and Vintage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(“ASU 2022- 02”) effective January 1,2023. The amendments in ASU 2022-02 eliminated the recognition and measurement of troubled debt restructurings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enhanced disclosures for loan modifications to borrowers experiencing financial difficulty.</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5" w:name="page116"/>
    <w:bookmarkEnd w:id="115"/>
    <w:p>
      <w:pPr>
        <w:ind w:right="340" w:firstLine="432"/>
        <w:spacing w:after="0" w:line="259" w:lineRule="auto"/>
        <w:rPr>
          <w:sz w:val="20"/>
          <w:szCs w:val="20"/>
          <w:color w:val="auto"/>
        </w:rPr>
      </w:pPr>
      <w:r>
        <w:rPr>
          <w:rFonts w:ascii="Times New Roman" w:cs="Times New Roman" w:eastAsia="Times New Roman" w:hAnsi="Times New Roman"/>
          <w:sz w:val="16"/>
          <w:szCs w:val="16"/>
          <w:color w:val="auto"/>
        </w:rPr>
        <w:t>The table below reflects the loans by type made to borrowers experiencing financial difficulty that were modified in the years ended December 31, 2024 and December 31, 2023, with the cost basis shown as of December 31, 2024 and December 31, 2023.</w:t>
      </w:r>
    </w:p>
    <w:p>
      <w:pPr>
        <w:sectPr>
          <w:pgSz w:w="11900" w:h="16840" w:orient="portrait"/>
          <w:cols w:equalWidth="0" w:num="1">
            <w:col w:w="10560"/>
          </w:cols>
          <w:pgMar w:left="660" w:top="1421" w:right="680" w:bottom="1440" w:gutter="0" w:footer="0" w:header="0"/>
        </w:sectPr>
      </w:pPr>
    </w:p>
    <w:p>
      <w:pPr>
        <w:spacing w:after="0" w:line="3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color w:val="auto"/>
        </w:rPr>
        <w:t>Loan Type</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Commercial real estate loans</w:t>
      </w:r>
    </w:p>
    <w:p>
      <w:pPr>
        <w:ind w:left="20"/>
        <w:spacing w:after="0" w:line="234" w:lineRule="auto"/>
        <w:rPr>
          <w:sz w:val="20"/>
          <w:szCs w:val="20"/>
          <w:color w:val="auto"/>
        </w:rPr>
      </w:pPr>
      <w:r>
        <w:rPr>
          <w:rFonts w:ascii="Times New Roman" w:cs="Times New Roman" w:eastAsia="Times New Roman" w:hAnsi="Times New Roman"/>
          <w:sz w:val="16"/>
          <w:szCs w:val="16"/>
          <w:color w:val="auto"/>
        </w:rPr>
        <w:t>Commercial and industrial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Commercial real estate loans</w:t>
      </w:r>
    </w:p>
    <w:p>
      <w:pPr>
        <w:ind w:left="20"/>
        <w:spacing w:after="0" w:line="234" w:lineRule="auto"/>
        <w:rPr>
          <w:sz w:val="20"/>
          <w:szCs w:val="20"/>
          <w:color w:val="auto"/>
        </w:rPr>
      </w:pPr>
      <w:r>
        <w:rPr>
          <w:rFonts w:ascii="Times New Roman" w:cs="Times New Roman" w:eastAsia="Times New Roman" w:hAnsi="Times New Roman"/>
          <w:sz w:val="16"/>
          <w:szCs w:val="16"/>
          <w:color w:val="auto"/>
        </w:rPr>
        <w:t>Commercial and industrial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p>
      <w:pPr>
        <w:spacing w:after="0" w:line="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2"/>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w w:val="97"/>
              </w:rPr>
              <w:t>Combination-Term Extension and Interest</w:t>
            </w:r>
          </w:p>
        </w:tc>
      </w:tr>
      <w:tr>
        <w:trPr>
          <w:trHeight w:val="180"/>
        </w:trPr>
        <w:tc>
          <w:tcPr>
            <w:tcW w:w="620" w:type="dxa"/>
            <w:vAlign w:val="bottom"/>
          </w:tcPr>
          <w:p>
            <w:pPr>
              <w:spacing w:after="0"/>
              <w:rPr>
                <w:sz w:val="15"/>
                <w:szCs w:val="15"/>
                <w:color w:val="auto"/>
              </w:rPr>
            </w:pPr>
          </w:p>
        </w:tc>
        <w:tc>
          <w:tcPr>
            <w:tcW w:w="3720" w:type="dxa"/>
            <w:vAlign w:val="bottom"/>
            <w:gridSpan w:val="2"/>
          </w:tcPr>
          <w:p>
            <w:pPr>
              <w:jc w:val="right"/>
              <w:ind w:right="1723"/>
              <w:spacing w:after="0" w:line="180"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40" w:type="dxa"/>
            <w:vAlign w:val="bottom"/>
          </w:tcPr>
          <w:p>
            <w:pPr>
              <w:spacing w:after="0"/>
              <w:rPr>
                <w:sz w:val="15"/>
                <w:szCs w:val="15"/>
                <w:color w:val="auto"/>
              </w:rPr>
            </w:pPr>
          </w:p>
        </w:tc>
        <w:tc>
          <w:tcPr>
            <w:tcW w:w="3180" w:type="dxa"/>
            <w:vAlign w:val="bottom"/>
            <w:gridSpan w:val="2"/>
          </w:tcPr>
          <w:p>
            <w:pPr>
              <w:jc w:val="right"/>
              <w:ind w:right="1123"/>
              <w:spacing w:after="0" w:line="180" w:lineRule="exact"/>
              <w:rPr>
                <w:sz w:val="20"/>
                <w:szCs w:val="20"/>
                <w:color w:val="auto"/>
              </w:rPr>
            </w:pPr>
            <w:r>
              <w:rPr>
                <w:rFonts w:ascii="Times New Roman" w:cs="Times New Roman" w:eastAsia="Times New Roman" w:hAnsi="Times New Roman"/>
                <w:sz w:val="16"/>
                <w:szCs w:val="16"/>
                <w:b w:val="1"/>
                <w:bCs w:val="1"/>
                <w:color w:val="auto"/>
              </w:rPr>
              <w:t>Rate Reduction</w:t>
            </w:r>
          </w:p>
        </w:tc>
      </w:tr>
      <w:tr>
        <w:trPr>
          <w:trHeight w:val="180"/>
        </w:trPr>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60" w:type="dxa"/>
            <w:vAlign w:val="bottom"/>
          </w:tcPr>
          <w:p>
            <w:pPr>
              <w:jc w:val="right"/>
              <w:ind w:right="623"/>
              <w:spacing w:after="0" w:line="180" w:lineRule="exact"/>
              <w:rPr>
                <w:sz w:val="20"/>
                <w:szCs w:val="20"/>
                <w:color w:val="auto"/>
              </w:rPr>
            </w:pPr>
            <w:r>
              <w:rPr>
                <w:rFonts w:ascii="Times New Roman" w:cs="Times New Roman" w:eastAsia="Times New Roman" w:hAnsi="Times New Roman"/>
                <w:sz w:val="16"/>
                <w:szCs w:val="16"/>
                <w:b w:val="1"/>
                <w:bCs w:val="1"/>
                <w:color w:val="auto"/>
              </w:rPr>
              <w:t>% of Total Class of</w:t>
            </w:r>
          </w:p>
        </w:tc>
        <w:tc>
          <w:tcPr>
            <w:tcW w:w="1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2180" w:type="dxa"/>
            <w:vAlign w:val="bottom"/>
          </w:tcPr>
          <w:p>
            <w:pPr>
              <w:jc w:val="right"/>
              <w:ind w:right="343"/>
              <w:spacing w:after="0" w:line="180" w:lineRule="exact"/>
              <w:rPr>
                <w:sz w:val="20"/>
                <w:szCs w:val="20"/>
                <w:color w:val="auto"/>
              </w:rPr>
            </w:pPr>
            <w:r>
              <w:rPr>
                <w:rFonts w:ascii="Times New Roman" w:cs="Times New Roman" w:eastAsia="Times New Roman" w:hAnsi="Times New Roman"/>
                <w:sz w:val="16"/>
                <w:szCs w:val="16"/>
                <w:b w:val="1"/>
                <w:bCs w:val="1"/>
                <w:color w:val="auto"/>
              </w:rPr>
              <w:t>% of Total Class of</w:t>
            </w:r>
          </w:p>
        </w:tc>
      </w:tr>
      <w:tr>
        <w:trPr>
          <w:trHeight w:val="205"/>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Amortized Cost Basis</w:t>
            </w:r>
          </w:p>
        </w:tc>
        <w:tc>
          <w:tcPr>
            <w:tcW w:w="2860" w:type="dxa"/>
            <w:vAlign w:val="bottom"/>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Financing Receivables</w:t>
            </w:r>
          </w:p>
        </w:tc>
        <w:tc>
          <w:tcPr>
            <w:tcW w:w="140" w:type="dxa"/>
            <w:vAlign w:val="bottom"/>
          </w:tcPr>
          <w:p>
            <w:pPr>
              <w:spacing w:after="0"/>
              <w:rPr>
                <w:sz w:val="17"/>
                <w:szCs w:val="17"/>
                <w:color w:val="auto"/>
              </w:rPr>
            </w:pPr>
          </w:p>
        </w:tc>
        <w:tc>
          <w:tcPr>
            <w:tcW w:w="10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18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Financing Receivables</w:t>
            </w:r>
          </w:p>
        </w:tc>
      </w:tr>
      <w:tr>
        <w:trPr>
          <w:trHeight w:val="337"/>
        </w:trPr>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28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180"/>
        </w:trPr>
        <w:tc>
          <w:tcPr>
            <w:tcW w:w="6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2,804</w:t>
            </w:r>
          </w:p>
        </w:tc>
        <w:tc>
          <w:tcPr>
            <w:tcW w:w="28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0.00%</w:t>
            </w:r>
          </w:p>
        </w:tc>
      </w:tr>
      <w:tr>
        <w:trPr>
          <w:trHeight w:val="180"/>
        </w:trPr>
        <w:tc>
          <w:tcPr>
            <w:tcW w:w="6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28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0.01%</w:t>
            </w:r>
          </w:p>
        </w:tc>
        <w:tc>
          <w:tcPr>
            <w:tcW w:w="14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0.00%</w:t>
            </w:r>
          </w:p>
        </w:tc>
      </w:tr>
      <w:tr>
        <w:trPr>
          <w:trHeight w:val="193"/>
        </w:trPr>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28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180" w:type="dxa"/>
            <w:vAlign w:val="bottom"/>
          </w:tcPr>
          <w:p>
            <w:pPr>
              <w:spacing w:after="0"/>
              <w:rPr>
                <w:sz w:val="16"/>
                <w:szCs w:val="16"/>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503"/>
        </w:trPr>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28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180"/>
        </w:trPr>
        <w:tc>
          <w:tcPr>
            <w:tcW w:w="6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1,305</w:t>
            </w:r>
          </w:p>
        </w:tc>
        <w:tc>
          <w:tcPr>
            <w:tcW w:w="28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0.01%</w:t>
            </w:r>
          </w:p>
        </w:tc>
        <w:tc>
          <w:tcPr>
            <w:tcW w:w="14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278</w:t>
            </w:r>
          </w:p>
        </w:tc>
        <w:tc>
          <w:tcPr>
            <w:tcW w:w="2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0.00%</w:t>
            </w:r>
          </w:p>
        </w:tc>
      </w:tr>
      <w:tr>
        <w:trPr>
          <w:trHeight w:val="228"/>
        </w:trPr>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2860" w:type="dxa"/>
            <w:vAlign w:val="bottom"/>
          </w:tcPr>
          <w:p>
            <w:pPr>
              <w:jc w:val="right"/>
              <w:ind w:right="123"/>
              <w:spacing w:after="0" w:line="228" w:lineRule="exact"/>
              <w:rPr>
                <w:sz w:val="20"/>
                <w:szCs w:val="20"/>
                <w:color w:val="auto"/>
              </w:rPr>
            </w:pPr>
            <w:r>
              <w:rPr>
                <w:rFonts w:ascii="Times New Roman" w:cs="Times New Roman" w:eastAsia="Times New Roman" w:hAnsi="Times New Roman"/>
                <w:sz w:val="14"/>
                <w:szCs w:val="14"/>
                <w:color w:val="auto"/>
              </w:rPr>
              <w:t>0.05</w:t>
            </w:r>
            <w:r>
              <w:rPr>
                <w:rFonts w:ascii="Times New Roman" w:cs="Times New Roman" w:eastAsia="Times New Roman" w:hAnsi="Times New Roman"/>
                <w:sz w:val="26"/>
                <w:szCs w:val="26"/>
                <w:color w:val="auto"/>
                <w:vertAlign w:val="subscript"/>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jc w:val="right"/>
              <w:spacing w:after="0" w:line="228" w:lineRule="exact"/>
              <w:rPr>
                <w:sz w:val="20"/>
                <w:szCs w:val="20"/>
                <w:color w:val="auto"/>
              </w:rPr>
            </w:pPr>
            <w:r>
              <w:rPr>
                <w:rFonts w:ascii="Times New Roman" w:cs="Times New Roman" w:eastAsia="Times New Roman" w:hAnsi="Times New Roman"/>
                <w:sz w:val="14"/>
                <w:szCs w:val="14"/>
                <w:color w:val="auto"/>
              </w:rPr>
              <w:t>0.00</w:t>
            </w:r>
            <w:r>
              <w:rPr>
                <w:rFonts w:ascii="Times New Roman" w:cs="Times New Roman" w:eastAsia="Times New Roman" w:hAnsi="Times New Roman"/>
                <w:sz w:val="26"/>
                <w:szCs w:val="26"/>
                <w:color w:val="auto"/>
                <w:vertAlign w:val="subscript"/>
              </w:rPr>
              <w:t>%</w:t>
            </w:r>
          </w:p>
        </w:tc>
      </w:tr>
      <w:tr>
        <w:trPr>
          <w:trHeight w:val="193"/>
        </w:trPr>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8,494</w:t>
            </w:r>
          </w:p>
        </w:tc>
        <w:tc>
          <w:tcPr>
            <w:tcW w:w="28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2180" w:type="dxa"/>
            <w:vAlign w:val="bottom"/>
          </w:tcPr>
          <w:p>
            <w:pPr>
              <w:spacing w:after="0"/>
              <w:rPr>
                <w:sz w:val="16"/>
                <w:szCs w:val="16"/>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-1219200</wp:posOffset>
            </wp:positionV>
            <wp:extent cx="6707505" cy="1143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-989965</wp:posOffset>
            </wp:positionV>
            <wp:extent cx="6707505" cy="114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-738505</wp:posOffset>
            </wp:positionV>
            <wp:extent cx="6707505" cy="114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-509905</wp:posOffset>
            </wp:positionV>
            <wp:extent cx="6707505" cy="114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-281305</wp:posOffset>
            </wp:positionV>
            <wp:extent cx="6707505" cy="1447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167" w:lineRule="exact"/>
        <w:rPr>
          <w:sz w:val="20"/>
          <w:szCs w:val="20"/>
          <w:color w:val="auto"/>
        </w:rPr>
      </w:pPr>
    </w:p>
    <w:p>
      <w:pPr>
        <w:sectPr>
          <w:pgSz w:w="11900" w:h="16840" w:orient="portrait"/>
          <w:cols w:equalWidth="0" w:num="2">
            <w:col w:w="2200" w:space="700"/>
            <w:col w:w="7660"/>
          </w:cols>
          <w:pgMar w:left="660" w:top="1421" w:right="680" w:bottom="1440" w:gutter="0" w:footer="0" w:header="0"/>
          <w:type w:val="continuous"/>
        </w:sectPr>
      </w:pPr>
    </w:p>
    <w:p>
      <w:pPr>
        <w:ind w:right="6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describes the financial effect of the loan modifications made to borrowers experiencing financial difficulty for the years ended December 31, 2024 and December 31, 2023.</w:t>
      </w:r>
    </w:p>
    <w:p>
      <w:pPr>
        <w:spacing w:after="0" w:line="165" w:lineRule="exact"/>
        <w:rPr>
          <w:sz w:val="20"/>
          <w:szCs w:val="20"/>
          <w:color w:val="auto"/>
        </w:rPr>
      </w:pPr>
    </w:p>
    <w:p>
      <w:pPr>
        <w:ind w:left="1060"/>
        <w:spacing w:after="0"/>
        <w:tabs>
          <w:tab w:leader="none" w:pos="6280" w:val="left"/>
        </w:tabs>
        <w:rPr>
          <w:sz w:val="20"/>
          <w:szCs w:val="20"/>
          <w:color w:val="auto"/>
        </w:rPr>
      </w:pPr>
      <w:r>
        <w:rPr>
          <w:rFonts w:ascii="Times New Roman" w:cs="Times New Roman" w:eastAsia="Times New Roman" w:hAnsi="Times New Roman"/>
          <w:sz w:val="16"/>
          <w:szCs w:val="16"/>
          <w:b w:val="1"/>
          <w:bCs w:val="1"/>
          <w:color w:val="auto"/>
        </w:rPr>
        <w:t>Loan Type</w:t>
      </w:r>
      <w:r>
        <w:rPr>
          <w:sz w:val="20"/>
          <w:szCs w:val="20"/>
          <w:color w:val="auto"/>
        </w:rPr>
        <w:tab/>
      </w:r>
      <w:r>
        <w:rPr>
          <w:rFonts w:ascii="Times New Roman" w:cs="Times New Roman" w:eastAsia="Times New Roman" w:hAnsi="Times New Roman"/>
          <w:sz w:val="14"/>
          <w:szCs w:val="14"/>
          <w:b w:val="1"/>
          <w:bCs w:val="1"/>
          <w:color w:val="auto"/>
        </w:rPr>
        <w:t>Financial Effect</w:t>
      </w:r>
    </w:p>
    <w:p>
      <w:pPr>
        <w:spacing w:after="0" w:line="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b w:val="1"/>
          <w:bCs w:val="1"/>
          <w:color w:val="auto"/>
        </w:rPr>
        <w:t>Combination-Term Extension and</w:t>
      </w:r>
    </w:p>
    <w:p>
      <w:pPr>
        <w:ind w:left="4360"/>
        <w:spacing w:after="0"/>
        <w:tabs>
          <w:tab w:leader="none" w:pos="7960" w:val="left"/>
        </w:tabs>
        <w:rPr>
          <w:sz w:val="20"/>
          <w:szCs w:val="20"/>
          <w:color w:val="auto"/>
        </w:rPr>
      </w:pPr>
      <w:r>
        <w:rPr>
          <w:rFonts w:ascii="Times New Roman" w:cs="Times New Roman" w:eastAsia="Times New Roman" w:hAnsi="Times New Roman"/>
          <w:sz w:val="16"/>
          <w:szCs w:val="16"/>
          <w:b w:val="1"/>
          <w:bCs w:val="1"/>
          <w:color w:val="auto"/>
        </w:rPr>
        <w:t>Term Extension</w:t>
      </w:r>
      <w:r>
        <w:rPr>
          <w:sz w:val="20"/>
          <w:szCs w:val="20"/>
          <w:color w:val="auto"/>
        </w:rPr>
        <w:tab/>
      </w:r>
      <w:r>
        <w:rPr>
          <w:rFonts w:ascii="Times New Roman" w:cs="Times New Roman" w:eastAsia="Times New Roman" w:hAnsi="Times New Roman"/>
          <w:sz w:val="14"/>
          <w:szCs w:val="14"/>
          <w:b w:val="1"/>
          <w:bCs w:val="1"/>
          <w:color w:val="auto"/>
        </w:rPr>
        <w:t>Interest Rate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143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type w:val="continuous"/>
        </w:sectPr>
      </w:pPr>
    </w:p>
    <w:p>
      <w:pPr>
        <w:ind w:left="20"/>
        <w:spacing w:after="0" w:line="235" w:lineRule="auto"/>
        <w:rPr>
          <w:sz w:val="20"/>
          <w:szCs w:val="20"/>
          <w:color w:val="auto"/>
        </w:rPr>
      </w:pPr>
      <w:r>
        <w:rPr>
          <w:rFonts w:ascii="Times New Roman" w:cs="Times New Roman" w:eastAsia="Times New Roman" w:hAnsi="Times New Roman"/>
          <w:sz w:val="16"/>
          <w:szCs w:val="16"/>
          <w:b w:val="1"/>
          <w:bCs w:val="1"/>
          <w:color w:val="auto"/>
        </w:rPr>
        <w:t>December 31, 2024</w:t>
      </w:r>
    </w:p>
    <w:p>
      <w:pPr>
        <w:ind w:left="20"/>
        <w:spacing w:after="0"/>
        <w:tabs>
          <w:tab w:leader="none" w:pos="3080" w:val="left"/>
        </w:tabs>
        <w:rPr>
          <w:sz w:val="20"/>
          <w:szCs w:val="20"/>
          <w:color w:val="auto"/>
        </w:rPr>
      </w:pPr>
      <w:r>
        <w:rPr>
          <w:rFonts w:ascii="Times New Roman" w:cs="Times New Roman" w:eastAsia="Times New Roman" w:hAnsi="Times New Roman"/>
          <w:sz w:val="16"/>
          <w:szCs w:val="16"/>
          <w:color w:val="auto"/>
        </w:rPr>
        <w:t>Commercial real estate loans</w:t>
      </w:r>
      <w:r>
        <w:rPr>
          <w:sz w:val="20"/>
          <w:szCs w:val="20"/>
          <w:color w:val="auto"/>
        </w:rPr>
        <w:tab/>
      </w:r>
      <w:r>
        <w:rPr>
          <w:rFonts w:ascii="Times New Roman" w:cs="Times New Roman" w:eastAsia="Times New Roman" w:hAnsi="Times New Roman"/>
          <w:sz w:val="14"/>
          <w:szCs w:val="14"/>
          <w:color w:val="auto"/>
        </w:rPr>
        <w:t>Added a weighted-average 1.7 years to the life of loans,</w:t>
      </w:r>
    </w:p>
    <w:p>
      <w:pPr>
        <w:ind w:left="3100"/>
        <w:spacing w:after="0" w:line="235" w:lineRule="auto"/>
        <w:rPr>
          <w:sz w:val="20"/>
          <w:szCs w:val="20"/>
          <w:color w:val="auto"/>
        </w:rPr>
      </w:pPr>
      <w:r>
        <w:rPr>
          <w:rFonts w:ascii="Times New Roman" w:cs="Times New Roman" w:eastAsia="Times New Roman" w:hAnsi="Times New Roman"/>
          <w:sz w:val="16"/>
          <w:szCs w:val="16"/>
          <w:color w:val="auto"/>
        </w:rPr>
        <w:t>which reduced monthly payment amounts for the</w:t>
      </w:r>
    </w:p>
    <w:p>
      <w:pPr>
        <w:ind w:left="3100"/>
        <w:spacing w:after="0"/>
        <w:rPr>
          <w:sz w:val="20"/>
          <w:szCs w:val="20"/>
          <w:color w:val="auto"/>
        </w:rPr>
      </w:pPr>
      <w:r>
        <w:rPr>
          <w:rFonts w:ascii="Times New Roman" w:cs="Times New Roman" w:eastAsia="Times New Roman" w:hAnsi="Times New Roman"/>
          <w:sz w:val="16"/>
          <w:szCs w:val="16"/>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6707505" cy="3429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6707505"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firstLine="36"/>
        <w:spacing w:after="0"/>
        <w:rPr>
          <w:sz w:val="20"/>
          <w:szCs w:val="20"/>
          <w:color w:val="auto"/>
        </w:rPr>
      </w:pPr>
      <w:r>
        <w:rPr>
          <w:rFonts w:ascii="Times New Roman" w:cs="Times New Roman" w:eastAsia="Times New Roman" w:hAnsi="Times New Roman"/>
          <w:sz w:val="16"/>
          <w:szCs w:val="16"/>
          <w:color w:val="auto"/>
        </w:rPr>
        <w:t>Added a weighted-average 7.6 years to the life of loans, which reduced monthly payment amounts for the borrowers; reduced weighted-average contractual interest rate from 10.00% to 7.25%.</w:t>
      </w:r>
    </w:p>
    <w:p>
      <w:pPr>
        <w:spacing w:after="0" w:line="1" w:lineRule="exact"/>
        <w:rPr>
          <w:sz w:val="20"/>
          <w:szCs w:val="20"/>
          <w:color w:val="auto"/>
        </w:rPr>
      </w:pPr>
    </w:p>
    <w:p>
      <w:pPr>
        <w:sectPr>
          <w:pgSz w:w="11900" w:h="16840" w:orient="portrait"/>
          <w:cols w:equalWidth="0" w:num="2">
            <w:col w:w="6600" w:space="380"/>
            <w:col w:w="3580"/>
          </w:cols>
          <w:pgMar w:left="660" w:top="1421" w:right="680" w:bottom="1440" w:gutter="0" w:footer="0" w:header="0"/>
          <w:type w:val="continuous"/>
        </w:sectPr>
      </w:pPr>
    </w:p>
    <w:tbl>
      <w:tblPr>
        <w:tblLayout w:type="fixed"/>
        <w:tblInd w:w="20" w:type="dxa"/>
        <w:tblCellMar>
          <w:top w:w="0" w:type="dxa"/>
          <w:left w:w="0" w:type="dxa"/>
          <w:bottom w:w="0" w:type="dxa"/>
          <w:right w:w="0" w:type="dxa"/>
        </w:tblCellMar>
      </w:tblPr>
      <w:tr>
        <w:trPr>
          <w:trHeight w:val="164"/>
        </w:trPr>
        <w:tc>
          <w:tcPr>
            <w:tcW w:w="26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Commercial and industrial</w:t>
            </w:r>
          </w:p>
        </w:tc>
        <w:tc>
          <w:tcPr>
            <w:tcW w:w="3940" w:type="dxa"/>
            <w:vAlign w:val="bottom"/>
          </w:tcPr>
          <w:p>
            <w:pPr>
              <w:ind w:left="440"/>
              <w:spacing w:after="0" w:line="165" w:lineRule="exact"/>
              <w:rPr>
                <w:sz w:val="20"/>
                <w:szCs w:val="20"/>
                <w:color w:val="auto"/>
              </w:rPr>
            </w:pPr>
            <w:r>
              <w:rPr>
                <w:rFonts w:ascii="Times New Roman" w:cs="Times New Roman" w:eastAsia="Times New Roman" w:hAnsi="Times New Roman"/>
                <w:sz w:val="16"/>
                <w:szCs w:val="16"/>
                <w:color w:val="auto"/>
                <w:w w:val="97"/>
              </w:rPr>
              <w:t>Added a weighted-average 1.2 years to the life of loans,</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394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rPr>
              <w:t>which reduced monthly payment amounts for the</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394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rPr>
              <w:t>borrowers.</w:t>
            </w:r>
          </w:p>
        </w:tc>
        <w:tc>
          <w:tcPr>
            <w:tcW w:w="0" w:type="dxa"/>
            <w:vAlign w:val="bottom"/>
          </w:tcPr>
          <w:p>
            <w:pPr>
              <w:spacing w:after="0"/>
              <w:rPr>
                <w:sz w:val="1"/>
                <w:szCs w:val="1"/>
                <w:color w:val="auto"/>
              </w:rPr>
            </w:pP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394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w w:val="97"/>
              </w:rPr>
              <w:t>Added a weighted-average 0.9 years to the life of loans,</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394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rPr>
              <w:t>which reduced monthly payment amounts for the</w:t>
            </w:r>
          </w:p>
        </w:tc>
        <w:tc>
          <w:tcPr>
            <w:tcW w:w="0" w:type="dxa"/>
            <w:vAlign w:val="bottom"/>
          </w:tcPr>
          <w:p>
            <w:pPr>
              <w:spacing w:after="0"/>
              <w:rPr>
                <w:sz w:val="1"/>
                <w:szCs w:val="1"/>
                <w:color w:val="auto"/>
              </w:rPr>
            </w:pPr>
          </w:p>
        </w:tc>
      </w:tr>
      <w:tr>
        <w:trPr>
          <w:trHeight w:val="203"/>
        </w:trPr>
        <w:tc>
          <w:tcPr>
            <w:tcW w:w="2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9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borrowers.</w:t>
            </w:r>
          </w:p>
        </w:tc>
        <w:tc>
          <w:tcPr>
            <w:tcW w:w="0" w:type="dxa"/>
            <w:vAlign w:val="bottom"/>
          </w:tcPr>
          <w:p>
            <w:pPr>
              <w:spacing w:after="0"/>
              <w:rPr>
                <w:sz w:val="1"/>
                <w:szCs w:val="1"/>
                <w:color w:val="auto"/>
              </w:rPr>
            </w:pPr>
          </w:p>
        </w:tc>
      </w:tr>
      <w:tr>
        <w:trPr>
          <w:trHeight w:val="157"/>
        </w:trPr>
        <w:tc>
          <w:tcPr>
            <w:tcW w:w="2640" w:type="dxa"/>
            <w:vAlign w:val="bottom"/>
            <w:vMerge w:val="continue"/>
          </w:tcPr>
          <w:p>
            <w:pPr>
              <w:spacing w:after="0"/>
              <w:rPr>
                <w:sz w:val="13"/>
                <w:szCs w:val="13"/>
                <w:color w:val="auto"/>
              </w:rPr>
            </w:pPr>
          </w:p>
        </w:tc>
        <w:tc>
          <w:tcPr>
            <w:tcW w:w="3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394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w w:val="97"/>
              </w:rPr>
              <w:t>Added a weighted-average 1.0 years to the life of loans,</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394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rPr>
              <w:t>which reduced monthly payment amounts for the</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9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borrowers.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-462915</wp:posOffset>
            </wp:positionV>
            <wp:extent cx="6707505" cy="1143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t>
      </w:r>
    </w:p>
    <w:p>
      <w:pPr>
        <w:spacing w:after="0" w:line="35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t>
      </w:r>
    </w:p>
    <w:p>
      <w:pPr>
        <w:spacing w:after="0" w:line="35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Added a weighted-average 7.6 years to the life of loans, which reduced monthly payment amounts for the borrowers; reduced weighted-average contractual interest rate from 10% to 7.25%.</w:t>
      </w:r>
    </w:p>
    <w:p>
      <w:pPr>
        <w:spacing w:after="0" w:line="1" w:lineRule="exact"/>
        <w:rPr>
          <w:sz w:val="20"/>
          <w:szCs w:val="20"/>
          <w:color w:val="auto"/>
        </w:rPr>
      </w:pPr>
    </w:p>
    <w:p>
      <w:pPr>
        <w:sectPr>
          <w:pgSz w:w="11900" w:h="16840" w:orient="portrait"/>
          <w:cols w:equalWidth="0" w:num="2">
            <w:col w:w="6600" w:space="380"/>
            <w:col w:w="3580"/>
          </w:cols>
          <w:pgMar w:left="660" w:top="1421" w:right="680"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660" w:type="dxa"/>
            <w:vAlign w:val="bottom"/>
            <w:shd w:val="clear" w:color="auto" w:fill="CFF0FC"/>
          </w:tcPr>
          <w:p>
            <w:pPr>
              <w:ind w:left="20"/>
              <w:spacing w:after="0" w:line="171" w:lineRule="exact"/>
              <w:rPr>
                <w:sz w:val="20"/>
                <w:szCs w:val="20"/>
                <w:color w:val="auto"/>
              </w:rPr>
            </w:pPr>
            <w:r>
              <w:rPr>
                <w:rFonts w:ascii="Times New Roman" w:cs="Times New Roman" w:eastAsia="Times New Roman" w:hAnsi="Times New Roman"/>
                <w:sz w:val="16"/>
                <w:szCs w:val="16"/>
                <w:color w:val="auto"/>
              </w:rPr>
              <w:t>Commercial and industrial</w:t>
            </w:r>
          </w:p>
        </w:tc>
        <w:tc>
          <w:tcPr>
            <w:tcW w:w="4140" w:type="dxa"/>
            <w:vAlign w:val="bottom"/>
            <w:shd w:val="clear" w:color="auto" w:fill="CFF0FC"/>
          </w:tcPr>
          <w:p>
            <w:pPr>
              <w:ind w:left="440"/>
              <w:spacing w:after="0" w:line="171" w:lineRule="exact"/>
              <w:rPr>
                <w:sz w:val="20"/>
                <w:szCs w:val="20"/>
                <w:color w:val="auto"/>
              </w:rPr>
            </w:pPr>
            <w:r>
              <w:rPr>
                <w:rFonts w:ascii="Times New Roman" w:cs="Times New Roman" w:eastAsia="Times New Roman" w:hAnsi="Times New Roman"/>
                <w:sz w:val="16"/>
                <w:szCs w:val="16"/>
                <w:color w:val="auto"/>
              </w:rPr>
              <w:t>Added a weighted-average 0.3 years to the life of loans,</w:t>
            </w:r>
          </w:p>
        </w:tc>
        <w:tc>
          <w:tcPr>
            <w:tcW w:w="3760" w:type="dxa"/>
            <w:vAlign w:val="bottom"/>
            <w:shd w:val="clear" w:color="auto" w:fill="CFF0FC"/>
          </w:tcPr>
          <w:p>
            <w:pPr>
              <w:ind w:left="180"/>
              <w:spacing w:after="0" w:line="171" w:lineRule="exact"/>
              <w:rPr>
                <w:sz w:val="20"/>
                <w:szCs w:val="20"/>
                <w:color w:val="auto"/>
              </w:rPr>
            </w:pPr>
            <w:r>
              <w:rPr>
                <w:rFonts w:ascii="Times New Roman" w:cs="Times New Roman" w:eastAsia="Times New Roman" w:hAnsi="Times New Roman"/>
                <w:sz w:val="16"/>
                <w:szCs w:val="16"/>
                <w:color w:val="auto"/>
                <w:w w:val="99"/>
              </w:rPr>
              <w:t>Added a weighted-average 2.0 years to the life of loans,</w:t>
            </w:r>
          </w:p>
        </w:tc>
      </w:tr>
      <w:tr>
        <w:trPr>
          <w:trHeight w:val="180"/>
        </w:trPr>
        <w:tc>
          <w:tcPr>
            <w:tcW w:w="2660" w:type="dxa"/>
            <w:vAlign w:val="bottom"/>
            <w:shd w:val="clear" w:color="auto" w:fill="CFF0FC"/>
          </w:tcPr>
          <w:p>
            <w:pPr>
              <w:spacing w:after="0"/>
              <w:rPr>
                <w:sz w:val="15"/>
                <w:szCs w:val="15"/>
                <w:color w:val="auto"/>
              </w:rPr>
            </w:pPr>
          </w:p>
        </w:tc>
        <w:tc>
          <w:tcPr>
            <w:tcW w:w="4140" w:type="dxa"/>
            <w:vAlign w:val="bottom"/>
            <w:shd w:val="clear" w:color="auto" w:fill="CFF0FC"/>
          </w:tcPr>
          <w:p>
            <w:pPr>
              <w:ind w:left="440"/>
              <w:spacing w:after="0" w:line="180" w:lineRule="exact"/>
              <w:rPr>
                <w:sz w:val="20"/>
                <w:szCs w:val="20"/>
                <w:color w:val="auto"/>
              </w:rPr>
            </w:pPr>
            <w:r>
              <w:rPr>
                <w:rFonts w:ascii="Times New Roman" w:cs="Times New Roman" w:eastAsia="Times New Roman" w:hAnsi="Times New Roman"/>
                <w:sz w:val="16"/>
                <w:szCs w:val="16"/>
                <w:color w:val="auto"/>
              </w:rPr>
              <w:t>which reduced monthly payment amounts for the</w:t>
            </w:r>
          </w:p>
        </w:tc>
        <w:tc>
          <w:tcPr>
            <w:tcW w:w="37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which reduced monthly payment amounts for the</w:t>
            </w:r>
          </w:p>
        </w:tc>
      </w:tr>
      <w:tr>
        <w:trPr>
          <w:trHeight w:val="180"/>
        </w:trPr>
        <w:tc>
          <w:tcPr>
            <w:tcW w:w="2660" w:type="dxa"/>
            <w:vAlign w:val="bottom"/>
            <w:shd w:val="clear" w:color="auto" w:fill="CFF0FC"/>
          </w:tcPr>
          <w:p>
            <w:pPr>
              <w:spacing w:after="0"/>
              <w:rPr>
                <w:sz w:val="15"/>
                <w:szCs w:val="15"/>
                <w:color w:val="auto"/>
              </w:rPr>
            </w:pPr>
          </w:p>
        </w:tc>
        <w:tc>
          <w:tcPr>
            <w:tcW w:w="4140" w:type="dxa"/>
            <w:vAlign w:val="bottom"/>
            <w:shd w:val="clear" w:color="auto" w:fill="CFF0FC"/>
          </w:tcPr>
          <w:p>
            <w:pPr>
              <w:ind w:left="440"/>
              <w:spacing w:after="0" w:line="180" w:lineRule="exact"/>
              <w:rPr>
                <w:sz w:val="20"/>
                <w:szCs w:val="20"/>
                <w:color w:val="auto"/>
              </w:rPr>
            </w:pPr>
            <w:r>
              <w:rPr>
                <w:rFonts w:ascii="Times New Roman" w:cs="Times New Roman" w:eastAsia="Times New Roman" w:hAnsi="Times New Roman"/>
                <w:sz w:val="16"/>
                <w:szCs w:val="16"/>
                <w:color w:val="auto"/>
              </w:rPr>
              <w:t>borrowers.</w:t>
            </w:r>
          </w:p>
        </w:tc>
        <w:tc>
          <w:tcPr>
            <w:tcW w:w="37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w w:val="96"/>
              </w:rPr>
              <w:t>borrowers; reduced weighted-average contractual interest</w:t>
            </w:r>
          </w:p>
        </w:tc>
      </w:tr>
      <w:tr>
        <w:trPr>
          <w:trHeight w:val="193"/>
        </w:trPr>
        <w:tc>
          <w:tcPr>
            <w:tcW w:w="2660" w:type="dxa"/>
            <w:vAlign w:val="bottom"/>
            <w:shd w:val="clear" w:color="auto" w:fill="CFF0FC"/>
          </w:tcPr>
          <w:p>
            <w:pPr>
              <w:spacing w:after="0"/>
              <w:rPr>
                <w:sz w:val="16"/>
                <w:szCs w:val="16"/>
                <w:color w:val="auto"/>
              </w:rPr>
            </w:pPr>
          </w:p>
        </w:tc>
        <w:tc>
          <w:tcPr>
            <w:tcW w:w="4140" w:type="dxa"/>
            <w:vAlign w:val="bottom"/>
            <w:shd w:val="clear" w:color="auto" w:fill="CFF0FC"/>
          </w:tcPr>
          <w:p>
            <w:pPr>
              <w:spacing w:after="0"/>
              <w:rPr>
                <w:sz w:val="16"/>
                <w:szCs w:val="16"/>
                <w:color w:val="auto"/>
              </w:rPr>
            </w:pPr>
          </w:p>
        </w:tc>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rate from 10% to 7.75%.</w:t>
            </w:r>
          </w:p>
        </w:tc>
      </w:tr>
      <w:tr>
        <w:trPr>
          <w:trHeight w:val="167"/>
        </w:trPr>
        <w:tc>
          <w:tcPr>
            <w:tcW w:w="26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4140" w:type="dxa"/>
            <w:vAlign w:val="bottom"/>
          </w:tcPr>
          <w:p>
            <w:pPr>
              <w:ind w:left="440"/>
              <w:spacing w:after="0" w:line="167" w:lineRule="exact"/>
              <w:rPr>
                <w:sz w:val="20"/>
                <w:szCs w:val="20"/>
                <w:color w:val="auto"/>
              </w:rPr>
            </w:pPr>
            <w:r>
              <w:rPr>
                <w:rFonts w:ascii="Times New Roman" w:cs="Times New Roman" w:eastAsia="Times New Roman" w:hAnsi="Times New Roman"/>
                <w:sz w:val="16"/>
                <w:szCs w:val="16"/>
                <w:color w:val="auto"/>
              </w:rPr>
              <w:t>Added a weighted-average 0.5 years to the life of loans,</w:t>
            </w:r>
          </w:p>
        </w:tc>
        <w:tc>
          <w:tcPr>
            <w:tcW w:w="3760" w:type="dxa"/>
            <w:vAlign w:val="bottom"/>
          </w:tcPr>
          <w:p>
            <w:pPr>
              <w:spacing w:after="0"/>
              <w:rPr>
                <w:sz w:val="14"/>
                <w:szCs w:val="14"/>
                <w:color w:val="auto"/>
              </w:rPr>
            </w:pPr>
          </w:p>
        </w:tc>
      </w:tr>
      <w:tr>
        <w:trPr>
          <w:trHeight w:val="180"/>
        </w:trPr>
        <w:tc>
          <w:tcPr>
            <w:tcW w:w="2660" w:type="dxa"/>
            <w:vAlign w:val="bottom"/>
          </w:tcPr>
          <w:p>
            <w:pPr>
              <w:spacing w:after="0"/>
              <w:rPr>
                <w:sz w:val="15"/>
                <w:szCs w:val="15"/>
                <w:color w:val="auto"/>
              </w:rPr>
            </w:pPr>
          </w:p>
        </w:tc>
        <w:tc>
          <w:tcPr>
            <w:tcW w:w="414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rPr>
              <w:t>which reduced monthly payment amounts for the</w:t>
            </w:r>
          </w:p>
        </w:tc>
        <w:tc>
          <w:tcPr>
            <w:tcW w:w="3760" w:type="dxa"/>
            <w:vAlign w:val="bottom"/>
          </w:tcPr>
          <w:p>
            <w:pPr>
              <w:ind w:left="19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2660" w:type="dxa"/>
            <w:vAlign w:val="bottom"/>
          </w:tcPr>
          <w:p>
            <w:pPr>
              <w:spacing w:after="0"/>
              <w:rPr>
                <w:sz w:val="17"/>
                <w:szCs w:val="17"/>
                <w:color w:val="auto"/>
              </w:rPr>
            </w:pPr>
          </w:p>
        </w:tc>
        <w:tc>
          <w:tcPr>
            <w:tcW w:w="4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borrowers.</w:t>
            </w:r>
          </w:p>
        </w:tc>
        <w:tc>
          <w:tcPr>
            <w:tcW w:w="3760" w:type="dxa"/>
            <w:vAlign w:val="bottom"/>
          </w:tcPr>
          <w:p>
            <w:pPr>
              <w:spacing w:after="0"/>
              <w:rPr>
                <w:sz w:val="17"/>
                <w:szCs w:val="17"/>
                <w:color w:val="auto"/>
              </w:rPr>
            </w:pPr>
          </w:p>
        </w:tc>
      </w:tr>
      <w:tr>
        <w:trPr>
          <w:trHeight w:val="456"/>
        </w:trPr>
        <w:tc>
          <w:tcPr>
            <w:tcW w:w="2660" w:type="dxa"/>
            <w:vAlign w:val="bottom"/>
          </w:tcPr>
          <w:p>
            <w:pPr>
              <w:spacing w:after="0"/>
              <w:rPr>
                <w:sz w:val="24"/>
                <w:szCs w:val="24"/>
                <w:color w:val="auto"/>
              </w:rPr>
            </w:pPr>
          </w:p>
        </w:tc>
        <w:tc>
          <w:tcPr>
            <w:tcW w:w="414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115</w:t>
            </w:r>
          </w:p>
        </w:tc>
        <w:tc>
          <w:tcPr>
            <w:tcW w:w="3760" w:type="dxa"/>
            <w:vAlign w:val="bottom"/>
          </w:tcPr>
          <w:p>
            <w:pPr>
              <w:spacing w:after="0"/>
              <w:rPr>
                <w:sz w:val="24"/>
                <w:szCs w:val="24"/>
                <w:color w:val="auto"/>
              </w:rPr>
            </w:pPr>
          </w:p>
        </w:tc>
      </w:tr>
      <w:tr>
        <w:trPr>
          <w:trHeight w:val="782"/>
        </w:trPr>
        <w:tc>
          <w:tcPr>
            <w:tcW w:w="2660" w:type="dxa"/>
            <w:vAlign w:val="bottom"/>
            <w:tcBorders>
              <w:bottom w:val="single" w:sz="8" w:color="EEEEEE"/>
            </w:tcBorders>
          </w:tcPr>
          <w:p>
            <w:pPr>
              <w:spacing w:after="0"/>
              <w:rPr>
                <w:sz w:val="24"/>
                <w:szCs w:val="24"/>
                <w:color w:val="auto"/>
              </w:rPr>
            </w:pPr>
          </w:p>
        </w:tc>
        <w:tc>
          <w:tcPr>
            <w:tcW w:w="4140" w:type="dxa"/>
            <w:vAlign w:val="bottom"/>
            <w:tcBorders>
              <w:bottom w:val="single" w:sz="8" w:color="EEEEEE"/>
            </w:tcBorders>
          </w:tcPr>
          <w:p>
            <w:pPr>
              <w:spacing w:after="0"/>
              <w:rPr>
                <w:sz w:val="24"/>
                <w:szCs w:val="24"/>
                <w:color w:val="auto"/>
              </w:rPr>
            </w:pPr>
          </w:p>
        </w:tc>
        <w:tc>
          <w:tcPr>
            <w:tcW w:w="37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type w:val="continuous"/>
        </w:sectPr>
      </w:pPr>
    </w:p>
    <w:bookmarkStart w:id="116" w:name="page117"/>
    <w:bookmarkEnd w:id="116"/>
    <w:p>
      <w:pPr>
        <w:spacing w:after="0" w:line="341" w:lineRule="exact"/>
        <w:rPr>
          <w:sz w:val="20"/>
          <w:szCs w:val="20"/>
          <w:color w:val="auto"/>
        </w:rPr>
      </w:pPr>
    </w:p>
    <w:p>
      <w:pPr>
        <w:ind w:left="20" w:right="620" w:firstLine="432"/>
        <w:spacing w:after="0" w:line="331" w:lineRule="auto"/>
        <w:rPr>
          <w:sz w:val="20"/>
          <w:szCs w:val="20"/>
          <w:color w:val="auto"/>
        </w:rPr>
      </w:pPr>
      <w:r>
        <w:rPr>
          <w:rFonts w:ascii="Times New Roman" w:cs="Times New Roman" w:eastAsia="Times New Roman" w:hAnsi="Times New Roman"/>
          <w:sz w:val="14"/>
          <w:szCs w:val="14"/>
          <w:color w:val="auto"/>
        </w:rPr>
        <w:t>As of December 31, 2024, the Company did not have any loans made to borrowers experiencing financial difficulty that were modified during 2023 that subsequently defaulted. Payment default is defined as movement to nonaccrual (nonperforming) status, foreclosure or charge-off, whichever occurs first.</w:t>
      </w:r>
    </w:p>
    <w:p>
      <w:pPr>
        <w:spacing w:after="0" w:line="96" w:lineRule="exact"/>
        <w:rPr>
          <w:sz w:val="20"/>
          <w:szCs w:val="20"/>
          <w:color w:val="auto"/>
        </w:rPr>
      </w:pPr>
    </w:p>
    <w:p>
      <w:pPr>
        <w:ind w:left="20" w:right="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recorded investment in, and the aging of, past due loans at amortized cost (including nonaccrual loans), by type of loans, made to borrowers experiencing financial difficulty that were modified on or after January 1, 2023, the date we adopted ASU 2022-02.</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Payment Status (amortized cost basis)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tcPr>
          <w:p>
            <w:pPr>
              <w:jc w:val="center"/>
              <w:ind w:right="640"/>
              <w:spacing w:after="0" w:line="180" w:lineRule="exact"/>
              <w:rPr>
                <w:sz w:val="20"/>
                <w:szCs w:val="20"/>
                <w:color w:val="auto"/>
              </w:rPr>
            </w:pPr>
            <w:r>
              <w:rPr>
                <w:rFonts w:ascii="Times New Roman" w:cs="Times New Roman" w:eastAsia="Times New Roman" w:hAnsi="Times New Roman"/>
                <w:sz w:val="16"/>
                <w:szCs w:val="16"/>
                <w:b w:val="1"/>
                <w:bCs w:val="1"/>
                <w:color w:val="auto"/>
                <w:w w:val="95"/>
              </w:rPr>
              <w:t>30-89 Days</w:t>
            </w:r>
          </w:p>
        </w:tc>
        <w:tc>
          <w:tcPr>
            <w:tcW w:w="320" w:type="dxa"/>
            <w:vAlign w:val="bottom"/>
          </w:tcPr>
          <w:p>
            <w:pPr>
              <w:spacing w:after="0"/>
              <w:rPr>
                <w:sz w:val="15"/>
                <w:szCs w:val="15"/>
                <w:color w:val="auto"/>
              </w:rPr>
            </w:pPr>
          </w:p>
        </w:tc>
        <w:tc>
          <w:tcPr>
            <w:tcW w:w="152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b w:val="1"/>
                <w:bCs w:val="1"/>
                <w:color w:val="auto"/>
              </w:rPr>
              <w:t>90+ Days</w:t>
            </w:r>
          </w:p>
        </w:tc>
      </w:tr>
      <w:tr>
        <w:trPr>
          <w:trHeight w:val="180"/>
        </w:trPr>
        <w:tc>
          <w:tcPr>
            <w:tcW w:w="4220" w:type="dxa"/>
            <w:vAlign w:val="bottom"/>
          </w:tcPr>
          <w:p>
            <w:pPr>
              <w:spacing w:after="0"/>
              <w:rPr>
                <w:sz w:val="15"/>
                <w:szCs w:val="15"/>
                <w:color w:val="auto"/>
              </w:rPr>
            </w:pPr>
          </w:p>
        </w:tc>
        <w:tc>
          <w:tcPr>
            <w:tcW w:w="1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Current</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tcPr>
          <w:p>
            <w:pPr>
              <w:jc w:val="center"/>
              <w:ind w:right="6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Past Due</w:t>
            </w:r>
          </w:p>
        </w:tc>
        <w:tc>
          <w:tcPr>
            <w:tcW w:w="320" w:type="dxa"/>
            <w:vAlign w:val="bottom"/>
          </w:tcPr>
          <w:p>
            <w:pPr>
              <w:spacing w:after="0"/>
              <w:rPr>
                <w:sz w:val="15"/>
                <w:szCs w:val="15"/>
                <w:color w:val="auto"/>
              </w:rPr>
            </w:pPr>
          </w:p>
        </w:tc>
        <w:tc>
          <w:tcPr>
            <w:tcW w:w="152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b w:val="1"/>
                <w:bCs w:val="1"/>
                <w:color w:val="auto"/>
              </w:rPr>
              <w:t>Past Due</w:t>
            </w:r>
          </w:p>
        </w:tc>
      </w:tr>
      <w:tr>
        <w:trPr>
          <w:trHeight w:val="195"/>
        </w:trPr>
        <w:tc>
          <w:tcPr>
            <w:tcW w:w="4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i w:val="1"/>
                <w:iCs w:val="1"/>
                <w:color w:val="auto"/>
                <w:w w:val="97"/>
              </w:rPr>
              <w:t>(Dollars in thousands)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22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1280" w:type="dxa"/>
            <w:vAlign w:val="bottom"/>
            <w:shd w:val="clear" w:color="auto" w:fill="CFF0FC"/>
          </w:tcPr>
          <w:p>
            <w:pPr>
              <w:jc w:val="right"/>
              <w:ind w:right="1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2,863</w:t>
            </w:r>
          </w:p>
        </w:tc>
        <w:tc>
          <w:tcPr>
            <w:tcW w:w="6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shd w:val="clear" w:color="auto" w:fill="CFF0FC"/>
          </w:tcPr>
          <w:p>
            <w:pPr>
              <w:ind w:left="1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tcPr>
          <w:p>
            <w:pPr>
              <w:ind w:left="40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128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2,804</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tcPr>
          <w:p>
            <w:pPr>
              <w:ind w:left="1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2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ind w:left="1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tcPr>
          <w:p>
            <w:pPr>
              <w:ind w:left="400"/>
              <w:spacing w:after="0" w:line="180" w:lineRule="exact"/>
              <w:rPr>
                <w:sz w:val="20"/>
                <w:szCs w:val="20"/>
                <w:color w:val="auto"/>
              </w:rPr>
            </w:pPr>
            <w:r>
              <w:rPr>
                <w:rFonts w:ascii="Times New Roman" w:cs="Times New Roman" w:eastAsia="Times New Roman" w:hAnsi="Times New Roman"/>
                <w:sz w:val="16"/>
                <w:szCs w:val="16"/>
                <w:color w:val="auto"/>
              </w:rPr>
              <w:t>SFR mortgage loans</w:t>
            </w:r>
          </w:p>
        </w:tc>
        <w:tc>
          <w:tcPr>
            <w:tcW w:w="128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tcPr>
          <w:p>
            <w:pPr>
              <w:ind w:left="1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2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Consumer and other loans</w:t>
            </w: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ind w:left="1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tcPr>
          <w:p>
            <w:pPr>
              <w:ind w:left="52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tcPr>
          <w:p>
            <w:pPr>
              <w:jc w:val="right"/>
              <w:ind w:right="1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6,467</w:t>
            </w:r>
          </w:p>
        </w:tc>
        <w:tc>
          <w:tcPr>
            <w:tcW w:w="62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tcPr>
          <w:p>
            <w:pPr>
              <w:ind w:left="14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ind w:left="1280"/>
              <w:spacing w:after="0" w:line="16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4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GOODWILL AND OTHER INTANGIBLE ASSETS</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presents the changes in the carrying amount of goodwill for the periods presented.</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1"/>
        </w:trPr>
        <w:tc>
          <w:tcPr>
            <w:tcW w:w="652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ind w:right="422"/>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5"/>
                <w:szCs w:val="15"/>
                <w:color w:val="auto"/>
              </w:rPr>
            </w:pPr>
          </w:p>
        </w:tc>
      </w:tr>
      <w:tr>
        <w:trPr>
          <w:trHeight w:val="182"/>
        </w:trPr>
        <w:tc>
          <w:tcPr>
            <w:tcW w:w="6520" w:type="dxa"/>
            <w:vAlign w:val="bottom"/>
          </w:tcPr>
          <w:p>
            <w:pPr>
              <w:spacing w:after="0"/>
              <w:rPr>
                <w:sz w:val="15"/>
                <w:szCs w:val="15"/>
                <w:color w:val="auto"/>
              </w:rPr>
            </w:pPr>
          </w:p>
        </w:tc>
        <w:tc>
          <w:tcPr>
            <w:tcW w:w="2360" w:type="dxa"/>
            <w:vAlign w:val="bottom"/>
            <w:gridSpan w:val="4"/>
          </w:tcPr>
          <w:p>
            <w:pPr>
              <w:jc w:val="right"/>
              <w:ind w:right="18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820" w:type="dxa"/>
            <w:vAlign w:val="bottom"/>
            <w:shd w:val="clear" w:color="auto" w:fill="CFF0FC"/>
          </w:tcPr>
          <w:p>
            <w:pPr>
              <w:jc w:val="right"/>
              <w:ind w:right="663"/>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w w:val="96"/>
              </w:rPr>
              <w:t>765,822</w:t>
            </w:r>
          </w:p>
        </w:tc>
        <w:tc>
          <w:tcPr>
            <w:tcW w:w="780" w:type="dxa"/>
            <w:vAlign w:val="bottom"/>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w w:val="99"/>
              </w:rPr>
              <w:t>765,822</w:t>
            </w:r>
          </w:p>
        </w:tc>
      </w:tr>
      <w:tr>
        <w:trPr>
          <w:trHeight w:val="180"/>
        </w:trPr>
        <w:tc>
          <w:tcPr>
            <w:tcW w:w="65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Additions due to acquisitions</w:t>
            </w:r>
          </w:p>
        </w:tc>
        <w:tc>
          <w:tcPr>
            <w:tcW w:w="820" w:type="dxa"/>
            <w:vAlign w:val="bottom"/>
          </w:tcPr>
          <w:p>
            <w:pPr>
              <w:spacing w:after="0"/>
              <w:rPr>
                <w:sz w:val="15"/>
                <w:szCs w:val="15"/>
                <w:color w:val="auto"/>
              </w:rPr>
            </w:pPr>
          </w:p>
        </w:tc>
        <w:tc>
          <w:tcPr>
            <w:tcW w:w="7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5"/>
                <w:szCs w:val="15"/>
                <w:color w:val="auto"/>
              </w:rPr>
            </w:pPr>
          </w:p>
        </w:tc>
        <w:tc>
          <w:tcPr>
            <w:tcW w:w="6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6520" w:type="dxa"/>
            <w:vAlign w:val="bottom"/>
            <w:tcBorders>
              <w:bottom w:val="single" w:sz="8" w:color="CFF0FC"/>
            </w:tcBorders>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Balance, end of period</w:t>
            </w:r>
          </w:p>
        </w:tc>
        <w:tc>
          <w:tcPr>
            <w:tcW w:w="820" w:type="dxa"/>
            <w:vAlign w:val="bottom"/>
            <w:tcBorders>
              <w:bottom w:val="single" w:sz="8" w:color="auto"/>
            </w:tcBorders>
            <w:shd w:val="clear" w:color="auto" w:fill="CFF0FC"/>
          </w:tcPr>
          <w:p>
            <w:pPr>
              <w:jc w:val="right"/>
              <w:ind w:right="663"/>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6"/>
              </w:rPr>
              <w:t>765,822</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765,822</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43" w:lineRule="exact"/>
        <w:rPr>
          <w:sz w:val="20"/>
          <w:szCs w:val="20"/>
          <w:color w:val="auto"/>
        </w:rPr>
      </w:pPr>
    </w:p>
    <w:p>
      <w:pPr>
        <w:ind w:left="20" w:right="20" w:firstLine="600"/>
        <w:spacing w:after="0" w:line="247" w:lineRule="auto"/>
        <w:rPr>
          <w:sz w:val="20"/>
          <w:szCs w:val="20"/>
          <w:color w:val="auto"/>
        </w:rPr>
      </w:pPr>
      <w:r>
        <w:rPr>
          <w:rFonts w:ascii="Times New Roman" w:cs="Times New Roman" w:eastAsia="Times New Roman" w:hAnsi="Times New Roman"/>
          <w:sz w:val="16"/>
          <w:szCs w:val="16"/>
          <w:color w:val="auto"/>
        </w:rPr>
        <w:t>Impairment exists when a reporting unit's carrying value exceeds its fair value. At December 31, 2024, the Company performed a qualitative assessment to determine if it was more likely than not that the fair value of the reporting unit exceeded its carrying value, including goodwill. The qualitative assessment indicated that it was more likely than not that the fair value of the reporting unit exceeded its carrying value, resulting in no impairment.</w:t>
      </w:r>
    </w:p>
    <w:p>
      <w:pPr>
        <w:spacing w:after="0" w:line="3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summarizes changes in CDI and the related accumulated amortization for the periods presented.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restart"/>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Gross CDI</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100" w:type="dxa"/>
            <w:vAlign w:val="bottom"/>
          </w:tcPr>
          <w:p>
            <w:pPr>
              <w:spacing w:after="0"/>
              <w:rPr>
                <w:sz w:val="15"/>
                <w:szCs w:val="15"/>
                <w:color w:val="auto"/>
              </w:rPr>
            </w:pPr>
          </w:p>
        </w:tc>
        <w:tc>
          <w:tcPr>
            <w:tcW w:w="98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b w:val="1"/>
                <w:bCs w:val="1"/>
                <w:color w:val="auto"/>
              </w:rPr>
              <w:t>Net CDI</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Gross CDI</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5"/>
                <w:szCs w:val="15"/>
                <w:color w:val="auto"/>
              </w:rPr>
            </w:pPr>
          </w:p>
        </w:tc>
        <w:tc>
          <w:tcPr>
            <w:tcW w:w="88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b w:val="1"/>
                <w:bCs w:val="1"/>
                <w:color w:val="auto"/>
              </w:rPr>
              <w:t>Net CDI</w:t>
            </w: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62"/>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w w:val="96"/>
              </w:rPr>
              <w:t>Amortization</w:t>
            </w:r>
          </w:p>
        </w:tc>
        <w:tc>
          <w:tcPr>
            <w:tcW w:w="100" w:type="dxa"/>
            <w:vAlign w:val="bottom"/>
          </w:tcPr>
          <w:p>
            <w:pPr>
              <w:spacing w:after="0"/>
              <w:rPr>
                <w:sz w:val="15"/>
                <w:szCs w:val="15"/>
                <w:color w:val="auto"/>
              </w:rPr>
            </w:pPr>
          </w:p>
        </w:tc>
        <w:tc>
          <w:tcPr>
            <w:tcW w:w="98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5"/>
                <w:szCs w:val="15"/>
                <w:color w:val="auto"/>
              </w:rPr>
            </w:pPr>
          </w:p>
        </w:tc>
        <w:tc>
          <w:tcPr>
            <w:tcW w:w="720" w:type="dxa"/>
            <w:vAlign w:val="bottom"/>
          </w:tcPr>
          <w:p>
            <w:pPr>
              <w:jc w:val="right"/>
              <w:ind w:right="62"/>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5"/>
                <w:szCs w:val="15"/>
                <w:color w:val="auto"/>
              </w:rPr>
            </w:pPr>
          </w:p>
        </w:tc>
        <w:tc>
          <w:tcPr>
            <w:tcW w:w="88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4"/>
          </w:tcPr>
          <w:p>
            <w:pPr>
              <w:jc w:val="right"/>
              <w:ind w:right="20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Balance of intangible assets,</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97,211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(81,921)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97,211</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(75,470)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21,742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(5,324)</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(5,324)</w:t>
            </w:r>
          </w:p>
        </w:tc>
        <w:tc>
          <w:tcPr>
            <w:tcW w:w="1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(6,451)</w:t>
            </w:r>
          </w:p>
        </w:tc>
        <w:tc>
          <w:tcPr>
            <w:tcW w:w="140" w:type="dxa"/>
            <w:vAlign w:val="bottom"/>
          </w:tcPr>
          <w:p>
            <w:pPr>
              <w:spacing w:after="0"/>
              <w:rPr>
                <w:sz w:val="15"/>
                <w:szCs w:val="15"/>
                <w:color w:val="auto"/>
              </w:rPr>
            </w:pPr>
          </w:p>
        </w:tc>
        <w:tc>
          <w:tcPr>
            <w:tcW w:w="8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(6,451)</w:t>
            </w:r>
          </w:p>
        </w:tc>
        <w:tc>
          <w:tcPr>
            <w:tcW w:w="0" w:type="dxa"/>
            <w:vAlign w:val="bottom"/>
          </w:tcPr>
          <w:p>
            <w:pPr>
              <w:spacing w:after="0"/>
              <w:rPr>
                <w:sz w:val="1"/>
                <w:szCs w:val="1"/>
                <w:color w:val="auto"/>
              </w:rPr>
            </w:pPr>
          </w:p>
        </w:tc>
      </w:tr>
      <w:tr>
        <w:trPr>
          <w:trHeight w:val="167"/>
        </w:trPr>
        <w:tc>
          <w:tcPr>
            <w:tcW w:w="340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Balance of intangible assets,</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97,211</w:t>
            </w:r>
          </w:p>
        </w:tc>
        <w:tc>
          <w:tcPr>
            <w:tcW w:w="3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line="167" w:lineRule="exact"/>
              <w:rPr>
                <w:sz w:val="20"/>
                <w:szCs w:val="20"/>
                <w:color w:val="auto"/>
              </w:rPr>
            </w:pPr>
            <w:r>
              <w:rPr>
                <w:rFonts w:ascii="Times New Roman" w:cs="Times New Roman" w:eastAsia="Times New Roman" w:hAnsi="Times New Roman"/>
                <w:sz w:val="16"/>
                <w:szCs w:val="16"/>
                <w:color w:val="auto"/>
              </w:rPr>
              <w:t>(87,245</w:t>
            </w:r>
          </w:p>
        </w:tc>
        <w:tc>
          <w:tcPr>
            <w:tcW w:w="20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9,967</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97,211</w:t>
            </w:r>
          </w:p>
        </w:tc>
        <w:tc>
          <w:tcPr>
            <w:tcW w:w="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67" w:lineRule="exact"/>
              <w:rPr>
                <w:sz w:val="20"/>
                <w:szCs w:val="20"/>
                <w:color w:val="auto"/>
              </w:rPr>
            </w:pPr>
            <w:r>
              <w:rPr>
                <w:rFonts w:ascii="Times New Roman" w:cs="Times New Roman" w:eastAsia="Times New Roman" w:hAnsi="Times New Roman"/>
                <w:sz w:val="16"/>
                <w:szCs w:val="16"/>
                <w:color w:val="auto"/>
              </w:rPr>
              <w:t>(81,921</w:t>
            </w:r>
          </w:p>
        </w:tc>
        <w:tc>
          <w:tcPr>
            <w:tcW w:w="20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400" w:type="dxa"/>
            <w:vAlign w:val="bottom"/>
            <w:shd w:val="clear" w:color="auto" w:fill="CFF0FC"/>
          </w:tcPr>
          <w:p>
            <w:pPr>
              <w:ind w:left="140"/>
              <w:spacing w:after="0" w:line="137" w:lineRule="exact"/>
              <w:rPr>
                <w:sz w:val="20"/>
                <w:szCs w:val="20"/>
                <w:color w:val="auto"/>
              </w:rPr>
            </w:pPr>
            <w:r>
              <w:rPr>
                <w:rFonts w:ascii="Times New Roman" w:cs="Times New Roman" w:eastAsia="Times New Roman" w:hAnsi="Times New Roman"/>
                <w:sz w:val="14"/>
                <w:szCs w:val="14"/>
                <w:color w:val="auto"/>
              </w:rPr>
              <w:t>end of period</w:t>
            </w:r>
          </w:p>
        </w:tc>
        <w:tc>
          <w:tcPr>
            <w:tcW w:w="120" w:type="dxa"/>
            <w:vAlign w:val="bottom"/>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360" w:type="dxa"/>
            <w:vAlign w:val="bottom"/>
            <w:gridSpan w:val="2"/>
            <w:vMerge w:val="continue"/>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360" w:type="dxa"/>
            <w:vAlign w:val="bottom"/>
            <w:gridSpan w:val="2"/>
            <w:vMerge w:val="continue"/>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42"/>
        </w:trPr>
        <w:tc>
          <w:tcPr>
            <w:tcW w:w="34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color w:val="auto"/>
              </w:rPr>
              <w:t>116</w:t>
            </w: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34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17" w:name="page118"/>
    <w:bookmarkEnd w:id="117"/>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reflects the estimated amortization expense for the periods presented, as of December 31, 2024.</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181"/>
        </w:trPr>
        <w:tc>
          <w:tcPr>
            <w:tcW w:w="6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tcPr>
          <w:p>
            <w:pPr>
              <w:jc w:val="center"/>
              <w:ind w:right="283"/>
              <w:spacing w:after="0" w:line="181" w:lineRule="exact"/>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5"/>
                <w:szCs w:val="15"/>
                <w:color w:val="auto"/>
              </w:rPr>
            </w:pPr>
          </w:p>
        </w:tc>
      </w:tr>
      <w:tr>
        <w:trPr>
          <w:trHeight w:val="182"/>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80" w:type="dxa"/>
            <w:vAlign w:val="bottom"/>
          </w:tcPr>
          <w:p>
            <w:pPr>
              <w:spacing w:after="0"/>
              <w:rPr>
                <w:sz w:val="15"/>
                <w:szCs w:val="15"/>
                <w:color w:val="auto"/>
              </w:rPr>
            </w:pPr>
          </w:p>
        </w:tc>
        <w:tc>
          <w:tcPr>
            <w:tcW w:w="2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r>
      <w:tr>
        <w:trPr>
          <w:trHeight w:val="180"/>
        </w:trPr>
        <w:tc>
          <w:tcPr>
            <w:tcW w:w="6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38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4,193</w:t>
            </w: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380" w:type="dxa"/>
            <w:vAlign w:val="bottom"/>
          </w:tcPr>
          <w:p>
            <w:pPr>
              <w:spacing w:after="0"/>
              <w:rPr>
                <w:sz w:val="15"/>
                <w:szCs w:val="15"/>
                <w:color w:val="auto"/>
              </w:rPr>
            </w:pPr>
          </w:p>
        </w:tc>
        <w:tc>
          <w:tcPr>
            <w:tcW w:w="23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2,822</w:t>
            </w:r>
          </w:p>
        </w:tc>
      </w:tr>
      <w:tr>
        <w:trPr>
          <w:trHeight w:val="180"/>
        </w:trPr>
        <w:tc>
          <w:tcPr>
            <w:tcW w:w="6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380" w:type="dxa"/>
            <w:vAlign w:val="bottom"/>
            <w:shd w:val="clear" w:color="auto" w:fill="CFF0FC"/>
          </w:tcPr>
          <w:p>
            <w:pPr>
              <w:spacing w:after="0"/>
              <w:rPr>
                <w:sz w:val="15"/>
                <w:szCs w:val="15"/>
                <w:color w:val="auto"/>
              </w:rPr>
            </w:pPr>
          </w:p>
        </w:tc>
        <w:tc>
          <w:tcPr>
            <w:tcW w:w="23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1,397</w:t>
            </w: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380" w:type="dxa"/>
            <w:vAlign w:val="bottom"/>
          </w:tcPr>
          <w:p>
            <w:pPr>
              <w:spacing w:after="0"/>
              <w:rPr>
                <w:sz w:val="15"/>
                <w:szCs w:val="15"/>
                <w:color w:val="auto"/>
              </w:rPr>
            </w:pPr>
          </w:p>
        </w:tc>
        <w:tc>
          <w:tcPr>
            <w:tcW w:w="2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547</w:t>
            </w:r>
          </w:p>
        </w:tc>
        <w:tc>
          <w:tcPr>
            <w:tcW w:w="80" w:type="dxa"/>
            <w:vAlign w:val="bottom"/>
          </w:tcPr>
          <w:p>
            <w:pPr>
              <w:spacing w:after="0"/>
              <w:rPr>
                <w:sz w:val="15"/>
                <w:szCs w:val="15"/>
                <w:color w:val="auto"/>
              </w:rPr>
            </w:pPr>
          </w:p>
        </w:tc>
      </w:tr>
      <w:tr>
        <w:trPr>
          <w:trHeight w:val="180"/>
        </w:trPr>
        <w:tc>
          <w:tcPr>
            <w:tcW w:w="6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380" w:type="dxa"/>
            <w:vAlign w:val="bottom"/>
            <w:shd w:val="clear" w:color="auto" w:fill="CFF0FC"/>
          </w:tcPr>
          <w:p>
            <w:pPr>
              <w:spacing w:after="0"/>
              <w:rPr>
                <w:sz w:val="15"/>
                <w:szCs w:val="15"/>
                <w:color w:val="auto"/>
              </w:rPr>
            </w:pPr>
          </w:p>
        </w:tc>
        <w:tc>
          <w:tcPr>
            <w:tcW w:w="2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356</w:t>
            </w:r>
          </w:p>
        </w:tc>
        <w:tc>
          <w:tcPr>
            <w:tcW w:w="80" w:type="dxa"/>
            <w:vAlign w:val="bottom"/>
            <w:shd w:val="clear" w:color="auto" w:fill="CFF0FC"/>
          </w:tcPr>
          <w:p>
            <w:pPr>
              <w:spacing w:after="0"/>
              <w:rPr>
                <w:sz w:val="15"/>
                <w:szCs w:val="15"/>
                <w:color w:val="auto"/>
              </w:rPr>
            </w:pP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380" w:type="dxa"/>
            <w:vAlign w:val="bottom"/>
          </w:tcPr>
          <w:p>
            <w:pPr>
              <w:spacing w:after="0"/>
              <w:rPr>
                <w:sz w:val="15"/>
                <w:szCs w:val="15"/>
                <w:color w:val="auto"/>
              </w:rPr>
            </w:pPr>
          </w:p>
        </w:tc>
        <w:tc>
          <w:tcPr>
            <w:tcW w:w="2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652</w:t>
            </w:r>
          </w:p>
        </w:tc>
        <w:tc>
          <w:tcPr>
            <w:tcW w:w="80" w:type="dxa"/>
            <w:vAlign w:val="bottom"/>
          </w:tcPr>
          <w:p>
            <w:pPr>
              <w:spacing w:after="0"/>
              <w:rPr>
                <w:sz w:val="15"/>
                <w:szCs w:val="15"/>
                <w:color w:val="auto"/>
              </w:rPr>
            </w:pPr>
          </w:p>
        </w:tc>
      </w:tr>
      <w:tr>
        <w:trPr>
          <w:trHeight w:val="220"/>
        </w:trPr>
        <w:tc>
          <w:tcPr>
            <w:tcW w:w="6780" w:type="dxa"/>
            <w:vAlign w:val="bottom"/>
            <w:tcBorders>
              <w:bottom w:val="single" w:sz="8" w:color="CFF0FC"/>
            </w:tcBorders>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9,967</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At December 31, 2024 the weighted average remaining life of intangible assets is approximately 1.72 years.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7. PREMISES AND EQUIPMENT</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560" w:type="dxa"/>
            <w:vAlign w:val="bottom"/>
          </w:tcPr>
          <w:p>
            <w:pPr>
              <w:spacing w:after="0"/>
              <w:rPr>
                <w:sz w:val="24"/>
                <w:szCs w:val="24"/>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Premises and equipment were comprised of the following as of the dates presented.</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5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6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vMerge w:val="restart"/>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9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Land</w:t>
            </w:r>
          </w:p>
        </w:tc>
        <w:tc>
          <w:tcPr>
            <w:tcW w:w="840" w:type="dxa"/>
            <w:vAlign w:val="bottom"/>
            <w:shd w:val="clear" w:color="auto" w:fill="CFF0FC"/>
          </w:tcPr>
          <w:p>
            <w:pPr>
              <w:jc w:val="right"/>
              <w:ind w:right="683"/>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8,136</w:t>
            </w:r>
          </w:p>
        </w:tc>
        <w:tc>
          <w:tcPr>
            <w:tcW w:w="42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17,967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6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Bank premises</w:t>
            </w:r>
          </w:p>
        </w:tc>
        <w:tc>
          <w:tcPr>
            <w:tcW w:w="84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48,950</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68,053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Furniture and equipment</w:t>
            </w:r>
          </w:p>
        </w:tc>
        <w:tc>
          <w:tcPr>
            <w:tcW w:w="8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28,103</w:t>
            </w: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32,190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65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Premises and equipment, gross</w:t>
            </w:r>
          </w:p>
        </w:tc>
        <w:tc>
          <w:tcPr>
            <w:tcW w:w="84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85,189</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118,210</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Accumulated depreciation and amortization</w:t>
            </w:r>
          </w:p>
        </w:tc>
        <w:tc>
          <w:tcPr>
            <w:tcW w:w="8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w w:val="98"/>
              </w:rPr>
              <w:t>(57,646)</w:t>
            </w:r>
          </w:p>
        </w:tc>
        <w:tc>
          <w:tcPr>
            <w:tcW w:w="4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(73,501)</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65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Premises and equipment, net</w:t>
            </w:r>
          </w:p>
        </w:tc>
        <w:tc>
          <w:tcPr>
            <w:tcW w:w="840" w:type="dxa"/>
            <w:vAlign w:val="bottom"/>
            <w:tcBorders>
              <w:bottom w:val="single" w:sz="8" w:color="auto"/>
            </w:tcBorders>
          </w:tcPr>
          <w:p>
            <w:pPr>
              <w:jc w:val="right"/>
              <w:ind w:right="683"/>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27,543</w:t>
            </w:r>
          </w:p>
        </w:tc>
        <w:tc>
          <w:tcPr>
            <w:tcW w:w="240" w:type="dxa"/>
            <w:vAlign w:val="bottom"/>
          </w:tcPr>
          <w:p>
            <w:pPr>
              <w:spacing w:after="0"/>
              <w:rPr>
                <w:sz w:val="15"/>
                <w:szCs w:val="15"/>
                <w:color w:val="auto"/>
              </w:rPr>
            </w:pPr>
          </w:p>
        </w:tc>
        <w:tc>
          <w:tcPr>
            <w:tcW w:w="420" w:type="dxa"/>
            <w:vAlign w:val="bottom"/>
            <w:tcBorders>
              <w:bottom w:val="single" w:sz="8" w:color="auto"/>
            </w:tcBorders>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44,709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firstLine="588"/>
        <w:spacing w:after="0" w:line="259" w:lineRule="auto"/>
        <w:rPr>
          <w:sz w:val="20"/>
          <w:szCs w:val="20"/>
          <w:color w:val="auto"/>
        </w:rPr>
      </w:pPr>
      <w:r>
        <w:rPr>
          <w:rFonts w:ascii="Times New Roman" w:cs="Times New Roman" w:eastAsia="Times New Roman" w:hAnsi="Times New Roman"/>
          <w:sz w:val="16"/>
          <w:szCs w:val="16"/>
          <w:color w:val="auto"/>
        </w:rPr>
        <w:t>The decrease in premises and equipment in 2024 was due to the sale and leaseback of four buildings during the year. Total depreciation and amortization expense was approximately $5.9 million, $6.6 million and $6.9 million for the years ended December 31, 2024, 2023 and 2022, respectively.</w:t>
      </w:r>
    </w:p>
    <w:p>
      <w:pPr>
        <w:spacing w:after="0" w:line="200" w:lineRule="exact"/>
        <w:rPr>
          <w:sz w:val="20"/>
          <w:szCs w:val="20"/>
          <w:color w:val="auto"/>
        </w:rPr>
      </w:pPr>
    </w:p>
    <w:p>
      <w:pPr>
        <w:spacing w:after="0" w:line="21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60"/>
          </w:cols>
          <w:pgMar w:left="640" w:top="1440" w:right="1100" w:bottom="1440" w:gutter="0" w:footer="0" w:header="0"/>
        </w:sectPr>
      </w:pPr>
    </w:p>
    <w:bookmarkStart w:id="118" w:name="page119"/>
    <w:bookmarkEnd w:id="118"/>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8. OTHER ASSETS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assets were comprised of the following as of the dates presented.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5"/>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442"/>
              <w:spacing w:after="0" w:line="181" w:lineRule="exact"/>
              <w:rPr>
                <w:sz w:val="20"/>
                <w:szCs w:val="20"/>
                <w:color w:val="auto"/>
              </w:rPr>
            </w:pPr>
            <w:r>
              <w:rPr>
                <w:rFonts w:ascii="Times New Roman" w:cs="Times New Roman" w:eastAsia="Times New Roman" w:hAnsi="Times New Roman"/>
                <w:sz w:val="16"/>
                <w:szCs w:val="16"/>
                <w:b w:val="1"/>
                <w:bCs w:val="1"/>
                <w:color w:val="auto"/>
                <w:w w:val="87"/>
              </w:rPr>
              <w:t>2024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422"/>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7"/>
          </w:tcPr>
          <w:p>
            <w:pPr>
              <w:jc w:val="center"/>
              <w:ind w:right="6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center"/>
              <w:ind w:left="4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13,073</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9,482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8,086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1,235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ROU assets</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47,117</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21,655</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Affordable housing investments</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56,547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14,365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56,735</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55,575</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Receivable for matured investment securities</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real estate owned (OREO)</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19,303</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15,037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9,875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tcBorders>
              <w:bottom w:val="single" w:sz="8" w:color="CFF0FC"/>
            </w:tcBorders>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center"/>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215,898</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127,187</w:t>
            </w: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9. INCOME TAXES</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current and deferred amounts of income tax expense consist of the following.</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102"/>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left="42"/>
              <w:spacing w:after="0" w:line="181" w:lineRule="exact"/>
              <w:rPr>
                <w:sz w:val="20"/>
                <w:szCs w:val="20"/>
                <w:color w:val="auto"/>
              </w:rPr>
            </w:pPr>
            <w:r>
              <w:rPr>
                <w:rFonts w:ascii="Times New Roman" w:cs="Times New Roman" w:eastAsia="Times New Roman" w:hAnsi="Times New Roman"/>
                <w:sz w:val="16"/>
                <w:szCs w:val="16"/>
                <w:b w:val="1"/>
                <w:bCs w:val="1"/>
                <w:color w:val="auto"/>
                <w:w w:val="93"/>
              </w:rPr>
              <w:t>2023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22"/>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Current provision:</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Federal</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41,558</w:t>
            </w:r>
          </w:p>
        </w:tc>
        <w:tc>
          <w:tcPr>
            <w:tcW w:w="80" w:type="dxa"/>
            <w:vAlign w:val="bottom"/>
          </w:tcPr>
          <w:p>
            <w:pPr>
              <w:spacing w:after="0"/>
              <w:rPr>
                <w:sz w:val="15"/>
                <w:szCs w:val="15"/>
                <w:color w:val="auto"/>
              </w:rPr>
            </w:pP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63,257</w:t>
            </w:r>
          </w:p>
        </w:tc>
        <w:tc>
          <w:tcPr>
            <w:tcW w:w="20" w:type="dxa"/>
            <w:vAlign w:val="bottom"/>
          </w:tcPr>
          <w:p>
            <w:pPr>
              <w:spacing w:after="0"/>
              <w:rPr>
                <w:sz w:val="15"/>
                <w:szCs w:val="15"/>
                <w:color w:val="auto"/>
              </w:rPr>
            </w:pPr>
          </w:p>
        </w:tc>
        <w:tc>
          <w:tcPr>
            <w:tcW w:w="4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60,763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State</w:t>
            </w:r>
          </w:p>
        </w:tc>
        <w:tc>
          <w:tcPr>
            <w:tcW w:w="2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24,798</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35,077</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35,427</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66,356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98,334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96,190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provision:</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Federal</w:t>
            </w:r>
          </w:p>
        </w:tc>
        <w:tc>
          <w:tcPr>
            <w:tcW w:w="240" w:type="dxa"/>
            <w:vAlign w:val="bottom"/>
          </w:tcPr>
          <w:p>
            <w:pPr>
              <w:spacing w:after="0"/>
              <w:rPr>
                <w:sz w:val="15"/>
                <w:szCs w:val="15"/>
                <w:color w:val="auto"/>
              </w:rPr>
            </w:pPr>
          </w:p>
        </w:tc>
        <w:tc>
          <w:tcPr>
            <w:tcW w:w="940" w:type="dxa"/>
            <w:vAlign w:val="bottom"/>
            <w:gridSpan w:val="3"/>
          </w:tcPr>
          <w:p>
            <w:pPr>
              <w:jc w:val="center"/>
              <w:ind w:left="382"/>
              <w:spacing w:after="0" w:line="180" w:lineRule="exact"/>
              <w:rPr>
                <w:sz w:val="20"/>
                <w:szCs w:val="20"/>
                <w:color w:val="auto"/>
              </w:rPr>
            </w:pPr>
            <w:r>
              <w:rPr>
                <w:rFonts w:ascii="Times New Roman" w:cs="Times New Roman" w:eastAsia="Times New Roman" w:hAnsi="Times New Roman"/>
                <w:sz w:val="16"/>
                <w:szCs w:val="16"/>
                <w:color w:val="auto"/>
                <w:w w:val="99"/>
              </w:rPr>
              <w:t>3,461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(2,913)</w:t>
            </w:r>
          </w:p>
        </w:tc>
        <w:tc>
          <w:tcPr>
            <w:tcW w:w="240" w:type="dxa"/>
            <w:vAlign w:val="bottom"/>
          </w:tcPr>
          <w:p>
            <w:pPr>
              <w:spacing w:after="0"/>
              <w:rPr>
                <w:sz w:val="15"/>
                <w:szCs w:val="15"/>
                <w:color w:val="auto"/>
              </w:rPr>
            </w:pPr>
          </w:p>
        </w:tc>
        <w:tc>
          <w:tcPr>
            <w:tcW w:w="9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(2,496)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State</w:t>
            </w:r>
          </w:p>
        </w:tc>
        <w:tc>
          <w:tcPr>
            <w:tcW w:w="2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705</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4"/>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(1,422)</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(772)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3"/>
          </w:tcPr>
          <w:p>
            <w:pPr>
              <w:jc w:val="center"/>
              <w:ind w:left="382"/>
              <w:spacing w:after="0" w:line="180" w:lineRule="exact"/>
              <w:rPr>
                <w:sz w:val="20"/>
                <w:szCs w:val="20"/>
                <w:color w:val="auto"/>
              </w:rPr>
            </w:pPr>
            <w:r>
              <w:rPr>
                <w:rFonts w:ascii="Times New Roman" w:cs="Times New Roman" w:eastAsia="Times New Roman" w:hAnsi="Times New Roman"/>
                <w:sz w:val="16"/>
                <w:szCs w:val="16"/>
                <w:color w:val="auto"/>
                <w:w w:val="99"/>
              </w:rPr>
              <w:t>4,166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(4,335)</w:t>
            </w:r>
          </w:p>
        </w:tc>
        <w:tc>
          <w:tcPr>
            <w:tcW w:w="240" w:type="dxa"/>
            <w:vAlign w:val="bottom"/>
          </w:tcPr>
          <w:p>
            <w:pPr>
              <w:spacing w:after="0"/>
              <w:rPr>
                <w:sz w:val="15"/>
                <w:szCs w:val="15"/>
                <w:color w:val="auto"/>
              </w:rPr>
            </w:pPr>
          </w:p>
        </w:tc>
        <w:tc>
          <w:tcPr>
            <w:tcW w:w="9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(3,268)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70,522</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93,999</w:t>
            </w:r>
          </w:p>
        </w:tc>
        <w:tc>
          <w:tcPr>
            <w:tcW w:w="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92,922</w:t>
            </w:r>
          </w:p>
        </w:tc>
        <w:tc>
          <w:tcPr>
            <w:tcW w:w="80" w:type="dxa"/>
            <w:vAlign w:val="bottom"/>
            <w:shd w:val="clear" w:color="auto" w:fill="CFF0FC"/>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6"/>
                <w:szCs w:val="16"/>
                <w:color w:val="auto"/>
              </w:rPr>
              <w:t>Income tax asset consists of the following.</w:t>
            </w: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5"/>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442"/>
              <w:spacing w:after="0" w:line="181" w:lineRule="exact"/>
              <w:rPr>
                <w:sz w:val="20"/>
                <w:szCs w:val="20"/>
                <w:color w:val="auto"/>
              </w:rPr>
            </w:pPr>
            <w:r>
              <w:rPr>
                <w:rFonts w:ascii="Times New Roman" w:cs="Times New Roman" w:eastAsia="Times New Roman" w:hAnsi="Times New Roman"/>
                <w:sz w:val="16"/>
                <w:szCs w:val="16"/>
                <w:b w:val="1"/>
                <w:bCs w:val="1"/>
                <w:color w:val="auto"/>
                <w:w w:val="87"/>
              </w:rPr>
              <w:t>2024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422"/>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7"/>
          </w:tcPr>
          <w:p>
            <w:pPr>
              <w:jc w:val="center"/>
              <w:ind w:right="6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Federal</w:t>
            </w:r>
          </w:p>
        </w:tc>
        <w:tc>
          <w:tcPr>
            <w:tcW w:w="240" w:type="dxa"/>
            <w:vAlign w:val="bottom"/>
          </w:tcPr>
          <w:p>
            <w:pPr>
              <w:spacing w:after="0"/>
              <w:rPr>
                <w:sz w:val="15"/>
                <w:szCs w:val="15"/>
                <w:color w:val="auto"/>
              </w:rPr>
            </w:pPr>
          </w:p>
        </w:tc>
        <w:tc>
          <w:tcPr>
            <w:tcW w:w="860" w:type="dxa"/>
            <w:vAlign w:val="bottom"/>
            <w:gridSpan w:val="2"/>
          </w:tcPr>
          <w:p>
            <w:pPr>
              <w:jc w:val="center"/>
              <w:ind w:left="4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3,469</w:t>
            </w:r>
          </w:p>
        </w:tc>
        <w:tc>
          <w:tcPr>
            <w:tcW w:w="20" w:type="dxa"/>
            <w:vAlign w:val="bottom"/>
          </w:tcPr>
          <w:p>
            <w:pPr>
              <w:spacing w:after="0"/>
              <w:rPr>
                <w:sz w:val="15"/>
                <w:szCs w:val="15"/>
                <w:color w:val="auto"/>
              </w:rPr>
            </w:pP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5"/>
                <w:szCs w:val="15"/>
                <w:color w:val="auto"/>
              </w:rPr>
            </w:pPr>
          </w:p>
        </w:tc>
        <w:tc>
          <w:tcPr>
            <w:tcW w:w="9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(10,094)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State</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698</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(1,722)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4,167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(11,816)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Federal</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106,102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112,481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60,909</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63,303</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0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167,011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175,784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tcBorders>
              <w:bottom w:val="single" w:sz="8" w:color="CFF0FC"/>
            </w:tcBorders>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center"/>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171,178</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163,968</w:t>
            </w: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6"/>
        </w:trPr>
        <w:tc>
          <w:tcPr>
            <w:tcW w:w="6180" w:type="dxa"/>
            <w:vAlign w:val="bottom"/>
            <w:gridSpan w:val="3"/>
          </w:tcPr>
          <w:p>
            <w:pPr>
              <w:jc w:val="right"/>
              <w:ind w:right="682"/>
              <w:spacing w:after="0"/>
              <w:rPr>
                <w:sz w:val="20"/>
                <w:szCs w:val="20"/>
                <w:color w:val="auto"/>
              </w:rPr>
            </w:pPr>
            <w:r>
              <w:rPr>
                <w:rFonts w:ascii="Times New Roman" w:cs="Times New Roman" w:eastAsia="Times New Roman" w:hAnsi="Times New Roman"/>
                <w:sz w:val="16"/>
                <w:szCs w:val="16"/>
                <w:color w:val="auto"/>
              </w:rPr>
              <w:t>118</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20" w:type="dxa"/>
            <w:vAlign w:val="bottom"/>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56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19" w:name="page120"/>
    <w:bookmarkEnd w:id="119"/>
    <w:p>
      <w:pPr>
        <w:ind w:right="460" w:firstLine="600"/>
        <w:spacing w:after="0" w:line="259" w:lineRule="auto"/>
        <w:rPr>
          <w:sz w:val="20"/>
          <w:szCs w:val="20"/>
          <w:color w:val="auto"/>
        </w:rPr>
      </w:pPr>
      <w:r>
        <w:rPr>
          <w:rFonts w:ascii="Times New Roman" w:cs="Times New Roman" w:eastAsia="Times New Roman" w:hAnsi="Times New Roman"/>
          <w:sz w:val="16"/>
          <w:szCs w:val="16"/>
          <w:color w:val="auto"/>
        </w:rPr>
        <w:t>Temporary differences between the amounts reported in the financial statements and the tax bases of assets and liabilities resulted in deferred taxes. The components of the net deferred tax asset are as follows.</w:t>
      </w:r>
    </w:p>
    <w:p>
      <w:pPr>
        <w:spacing w:after="0" w:line="161"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42"/>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342"/>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r>
      <w:tr>
        <w:trPr>
          <w:trHeight w:val="182"/>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r>
      <w:tr>
        <w:trPr>
          <w:trHeight w:val="180"/>
        </w:trPr>
        <w:tc>
          <w:tcPr>
            <w:tcW w:w="57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5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Bad debt and credit loss deduction</w:t>
            </w:r>
          </w:p>
        </w:tc>
        <w:tc>
          <w:tcPr>
            <w:tcW w:w="2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27,501</w:t>
            </w:r>
          </w:p>
        </w:tc>
        <w:tc>
          <w:tcPr>
            <w:tcW w:w="62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30,038</w:t>
            </w:r>
          </w:p>
        </w:tc>
        <w:tc>
          <w:tcPr>
            <w:tcW w:w="100" w:type="dxa"/>
            <w:vAlign w:val="bottom"/>
          </w:tcPr>
          <w:p>
            <w:pPr>
              <w:spacing w:after="0"/>
              <w:rPr>
                <w:sz w:val="15"/>
                <w:szCs w:val="15"/>
                <w:color w:val="auto"/>
              </w:rPr>
            </w:pPr>
          </w:p>
        </w:tc>
      </w:tr>
      <w:tr>
        <w:trPr>
          <w:trHeight w:val="180"/>
        </w:trPr>
        <w:tc>
          <w:tcPr>
            <w:tcW w:w="57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operating loss carryforward</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2,516</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3,711</w:t>
            </w:r>
          </w:p>
        </w:tc>
      </w:tr>
      <w:tr>
        <w:trPr>
          <w:trHeight w:val="180"/>
        </w:trPr>
        <w:tc>
          <w:tcPr>
            <w:tcW w:w="5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Deferred compensation</w:t>
            </w:r>
          </w:p>
        </w:tc>
        <w:tc>
          <w:tcPr>
            <w:tcW w:w="2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7,047</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6,849</w:t>
            </w:r>
          </w:p>
        </w:tc>
      </w:tr>
      <w:tr>
        <w:trPr>
          <w:trHeight w:val="180"/>
        </w:trPr>
        <w:tc>
          <w:tcPr>
            <w:tcW w:w="57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PCI loans</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FF0FC"/>
          </w:tcPr>
          <w:p>
            <w:pPr>
              <w:spacing w:after="0"/>
              <w:rPr>
                <w:sz w:val="15"/>
                <w:szCs w:val="15"/>
                <w:color w:val="auto"/>
              </w:rPr>
            </w:pPr>
          </w:p>
        </w:tc>
      </w:tr>
      <w:tr>
        <w:trPr>
          <w:trHeight w:val="180"/>
        </w:trPr>
        <w:tc>
          <w:tcPr>
            <w:tcW w:w="5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Accrued expense</w:t>
            </w:r>
          </w:p>
        </w:tc>
        <w:tc>
          <w:tcPr>
            <w:tcW w:w="2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7,085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7,257</w:t>
            </w:r>
          </w:p>
        </w:tc>
      </w:tr>
      <w:tr>
        <w:trPr>
          <w:trHeight w:val="180"/>
        </w:trPr>
        <w:tc>
          <w:tcPr>
            <w:tcW w:w="57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Unrealized loss on investment securities, net</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140,443</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145,404</w:t>
            </w:r>
          </w:p>
        </w:tc>
      </w:tr>
      <w:tr>
        <w:trPr>
          <w:trHeight w:val="180"/>
        </w:trPr>
        <w:tc>
          <w:tcPr>
            <w:tcW w:w="5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Acquired loan discounts</w:t>
            </w:r>
          </w:p>
        </w:tc>
        <w:tc>
          <w:tcPr>
            <w:tcW w:w="2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2,033</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3,061</w:t>
            </w:r>
          </w:p>
        </w:tc>
      </w:tr>
      <w:tr>
        <w:trPr>
          <w:trHeight w:val="180"/>
        </w:trPr>
        <w:tc>
          <w:tcPr>
            <w:tcW w:w="57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Lease liability</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15,766</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7,505</w:t>
            </w:r>
          </w:p>
        </w:tc>
      </w:tr>
      <w:tr>
        <w:trPr>
          <w:trHeight w:val="180"/>
        </w:trPr>
        <w:tc>
          <w:tcPr>
            <w:tcW w:w="5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1,660</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1,816</w:t>
            </w:r>
          </w:p>
        </w:tc>
      </w:tr>
      <w:tr>
        <w:trPr>
          <w:trHeight w:val="180"/>
        </w:trPr>
        <w:tc>
          <w:tcPr>
            <w:tcW w:w="57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Gross deferred tax asset</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204,102</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205,695</w:t>
            </w:r>
          </w:p>
        </w:tc>
      </w:tr>
      <w:tr>
        <w:trPr>
          <w:trHeight w:val="180"/>
        </w:trPr>
        <w:tc>
          <w:tcPr>
            <w:tcW w:w="57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tax liabilities: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7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California franchise tax</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7,552</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5,921</w:t>
            </w:r>
          </w:p>
        </w:tc>
      </w:tr>
      <w:tr>
        <w:trPr>
          <w:trHeight w:val="180"/>
        </w:trPr>
        <w:tc>
          <w:tcPr>
            <w:tcW w:w="5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424</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2,950</w:t>
            </w:r>
          </w:p>
        </w:tc>
      </w:tr>
      <w:tr>
        <w:trPr>
          <w:trHeight w:val="180"/>
        </w:trPr>
        <w:tc>
          <w:tcPr>
            <w:tcW w:w="57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Intangibles - acquisitions</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8,154</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7,714</w:t>
            </w:r>
          </w:p>
        </w:tc>
      </w:tr>
      <w:tr>
        <w:trPr>
          <w:trHeight w:val="180"/>
        </w:trPr>
        <w:tc>
          <w:tcPr>
            <w:tcW w:w="5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FHLB Stock</w:t>
            </w:r>
          </w:p>
        </w:tc>
        <w:tc>
          <w:tcPr>
            <w:tcW w:w="2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2,545</w:t>
            </w:r>
          </w:p>
        </w:tc>
      </w:tr>
      <w:tr>
        <w:trPr>
          <w:trHeight w:val="180"/>
        </w:trPr>
        <w:tc>
          <w:tcPr>
            <w:tcW w:w="57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Deferred income</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3,414</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3,886</w:t>
            </w:r>
          </w:p>
        </w:tc>
      </w:tr>
      <w:tr>
        <w:trPr>
          <w:trHeight w:val="180"/>
        </w:trPr>
        <w:tc>
          <w:tcPr>
            <w:tcW w:w="57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Right of use asset</w:t>
            </w:r>
          </w:p>
        </w:tc>
        <w:tc>
          <w:tcPr>
            <w:tcW w:w="2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15,002</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6,895</w:t>
            </w:r>
          </w:p>
        </w:tc>
      </w:tr>
      <w:tr>
        <w:trPr>
          <w:trHeight w:val="180"/>
        </w:trPr>
        <w:tc>
          <w:tcPr>
            <w:tcW w:w="57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Gross deferred tax liability</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37,091</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29,911</w:t>
            </w:r>
          </w:p>
        </w:tc>
        <w:tc>
          <w:tcPr>
            <w:tcW w:w="100" w:type="dxa"/>
            <w:vAlign w:val="bottom"/>
            <w:shd w:val="clear" w:color="auto" w:fill="CFF0FC"/>
          </w:tcPr>
          <w:p>
            <w:pPr>
              <w:spacing w:after="0"/>
              <w:rPr>
                <w:sz w:val="15"/>
                <w:szCs w:val="15"/>
                <w:color w:val="auto"/>
              </w:rPr>
            </w:pPr>
          </w:p>
        </w:tc>
      </w:tr>
      <w:tr>
        <w:trPr>
          <w:trHeight w:val="180"/>
        </w:trPr>
        <w:tc>
          <w:tcPr>
            <w:tcW w:w="57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deferred tax asset</w:t>
            </w:r>
          </w:p>
        </w:tc>
        <w:tc>
          <w:tcPr>
            <w:tcW w:w="2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167,011</w:t>
            </w:r>
          </w:p>
        </w:tc>
        <w:tc>
          <w:tcPr>
            <w:tcW w:w="62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175,784</w:t>
            </w:r>
          </w:p>
        </w:tc>
      </w:tr>
      <w:tr>
        <w:trPr>
          <w:trHeight w:val="20"/>
        </w:trPr>
        <w:tc>
          <w:tcPr>
            <w:tcW w:w="5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Annual Effective Tax Rate</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annual consolidated effective tax rate for the periods presented, is reconciled to the U.S. statutory income rate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0"/>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1"/>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right"/>
              <w:ind w:right="56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gridSpan w:val="2"/>
          </w:tcPr>
          <w:p>
            <w:pPr>
              <w:jc w:val="right"/>
              <w:ind w:right="560"/>
              <w:spacing w:after="0" w:line="181" w:lineRule="exact"/>
              <w:rPr>
                <w:sz w:val="20"/>
                <w:szCs w:val="20"/>
                <w:color w:val="auto"/>
              </w:rPr>
            </w:pPr>
            <w:r>
              <w:rPr>
                <w:rFonts w:ascii="Times New Roman" w:cs="Times New Roman" w:eastAsia="Times New Roman" w:hAnsi="Times New Roman"/>
                <w:sz w:val="16"/>
                <w:szCs w:val="16"/>
                <w:b w:val="1"/>
                <w:bCs w:val="1"/>
                <w:color w:val="auto"/>
              </w:rPr>
              <w:t>Percent</w:t>
            </w:r>
          </w:p>
        </w:tc>
        <w:tc>
          <w:tcPr>
            <w:tcW w:w="120" w:type="dxa"/>
            <w:vAlign w:val="bottom"/>
          </w:tcPr>
          <w:p>
            <w:pPr>
              <w:spacing w:after="0"/>
              <w:rPr>
                <w:sz w:val="15"/>
                <w:szCs w:val="15"/>
                <w:color w:val="auto"/>
              </w:rPr>
            </w:pPr>
          </w:p>
        </w:tc>
        <w:tc>
          <w:tcPr>
            <w:tcW w:w="1060" w:type="dxa"/>
            <w:vAlign w:val="bottom"/>
            <w:gridSpan w:val="3"/>
          </w:tcPr>
          <w:p>
            <w:pPr>
              <w:jc w:val="right"/>
              <w:ind w:right="48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060" w:type="dxa"/>
            <w:vAlign w:val="bottom"/>
            <w:gridSpan w:val="2"/>
          </w:tcPr>
          <w:p>
            <w:pPr>
              <w:jc w:val="right"/>
              <w:ind w:right="500"/>
              <w:spacing w:after="0" w:line="181" w:lineRule="exact"/>
              <w:rPr>
                <w:sz w:val="20"/>
                <w:szCs w:val="20"/>
                <w:color w:val="auto"/>
              </w:rPr>
            </w:pPr>
            <w:r>
              <w:rPr>
                <w:rFonts w:ascii="Times New Roman" w:cs="Times New Roman" w:eastAsia="Times New Roman" w:hAnsi="Times New Roman"/>
                <w:sz w:val="16"/>
                <w:szCs w:val="16"/>
                <w:b w:val="1"/>
                <w:bCs w:val="1"/>
                <w:color w:val="auto"/>
              </w:rPr>
              <w:t>Percent</w:t>
            </w:r>
          </w:p>
        </w:tc>
        <w:tc>
          <w:tcPr>
            <w:tcW w:w="120" w:type="dxa"/>
            <w:vAlign w:val="bottom"/>
          </w:tcPr>
          <w:p>
            <w:pPr>
              <w:spacing w:after="0"/>
              <w:rPr>
                <w:sz w:val="15"/>
                <w:szCs w:val="15"/>
                <w:color w:val="auto"/>
              </w:rPr>
            </w:pPr>
          </w:p>
        </w:tc>
        <w:tc>
          <w:tcPr>
            <w:tcW w:w="1060" w:type="dxa"/>
            <w:vAlign w:val="bottom"/>
            <w:gridSpan w:val="3"/>
          </w:tcPr>
          <w:p>
            <w:pPr>
              <w:jc w:val="right"/>
              <w:ind w:right="48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9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Percent</w:t>
            </w:r>
          </w:p>
        </w:tc>
      </w:tr>
      <w:tr>
        <w:trPr>
          <w:trHeight w:val="182"/>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Federal income tax at statutory rate</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56,960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66,241</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68,953</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21.0%</w:t>
            </w: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State franchise taxes, net of federal benefit</w:t>
            </w: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19,698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25,139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27,256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8.3%</w:t>
            </w: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State impact of BOLI surrender, net of federal benefit</w:t>
            </w:r>
          </w:p>
        </w:tc>
        <w:tc>
          <w:tcPr>
            <w:tcW w:w="16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1,489</w:t>
            </w: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Federal impact of BOLI surrender and MEC penalty</w:t>
            </w:r>
          </w:p>
        </w:tc>
        <w:tc>
          <w:tcPr>
            <w:tcW w:w="160" w:type="dxa"/>
            <w:vAlign w:val="bottom"/>
          </w:tcPr>
          <w:p>
            <w:pPr>
              <w:spacing w:after="0"/>
              <w:rPr>
                <w:sz w:val="15"/>
                <w:szCs w:val="15"/>
                <w:color w:val="auto"/>
              </w:rPr>
            </w:pPr>
          </w:p>
        </w:tc>
        <w:tc>
          <w:tcPr>
            <w:tcW w:w="1160" w:type="dxa"/>
            <w:vAlign w:val="bottom"/>
            <w:gridSpan w:val="3"/>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5,486</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5"/>
                <w:szCs w:val="15"/>
                <w:color w:val="auto"/>
              </w:rPr>
            </w:pPr>
          </w:p>
        </w:tc>
        <w:tc>
          <w:tcPr>
            <w:tcW w:w="1060" w:type="dxa"/>
            <w:vAlign w:val="bottom"/>
            <w:gridSpan w:val="3"/>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Tax-exempt income</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(4,919)</w:t>
            </w: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(5,146)</w:t>
            </w: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(3,290)</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Tax credits</w:t>
            </w:r>
          </w:p>
        </w:tc>
        <w:tc>
          <w:tcPr>
            <w:tcW w:w="16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(2,184)</w:t>
            </w:r>
          </w:p>
        </w:tc>
        <w:tc>
          <w:tcPr>
            <w:tcW w:w="180" w:type="dxa"/>
            <w:vAlign w:val="bottom"/>
          </w:tcPr>
          <w:p>
            <w:pPr>
              <w:spacing w:after="0"/>
              <w:rPr>
                <w:sz w:val="15"/>
                <w:szCs w:val="15"/>
                <w:color w:val="auto"/>
              </w:rPr>
            </w:pP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(1,239)</w:t>
            </w:r>
          </w:p>
        </w:tc>
        <w:tc>
          <w:tcPr>
            <w:tcW w:w="16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(1,617)</w:t>
            </w:r>
          </w:p>
        </w:tc>
        <w:tc>
          <w:tcPr>
            <w:tcW w:w="160" w:type="dxa"/>
            <w:vAlign w:val="bottom"/>
          </w:tcPr>
          <w:p>
            <w:pPr>
              <w:spacing w:after="0"/>
              <w:rPr>
                <w:sz w:val="15"/>
                <w:szCs w:val="15"/>
                <w:color w:val="auto"/>
              </w:rPr>
            </w:pPr>
          </w:p>
        </w:tc>
        <w:tc>
          <w:tcPr>
            <w:tcW w:w="9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967</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1,620</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180"/>
        </w:trPr>
        <w:tc>
          <w:tcPr>
            <w:tcW w:w="372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70,522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26.0</w:t>
            </w:r>
            <w:r>
              <w:rPr>
                <w:rFonts w:ascii="Times New Roman" w:cs="Times New Roman" w:eastAsia="Times New Roman" w:hAnsi="Times New Roman"/>
                <w:sz w:val="18"/>
                <w:szCs w:val="18"/>
                <w:color w:val="auto"/>
                <w:vertAlign w:val="subscript"/>
              </w:rPr>
              <w:t>%</w:t>
            </w:r>
          </w:p>
        </w:tc>
        <w:tc>
          <w:tcPr>
            <w:tcW w:w="1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93,999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29.8</w:t>
            </w:r>
            <w:r>
              <w:rPr>
                <w:rFonts w:ascii="Times New Roman" w:cs="Times New Roman" w:eastAsia="Times New Roman" w:hAnsi="Times New Roman"/>
                <w:sz w:val="18"/>
                <w:szCs w:val="18"/>
                <w:color w:val="auto"/>
                <w:vertAlign w:val="subscript"/>
              </w:rPr>
              <w:t>%</w:t>
            </w: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92,922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28.3</w:t>
            </w:r>
            <w:r>
              <w:rPr>
                <w:rFonts w:ascii="Times New Roman" w:cs="Times New Roman" w:eastAsia="Times New Roman" w:hAnsi="Times New Roman"/>
                <w:sz w:val="18"/>
                <w:szCs w:val="18"/>
                <w:color w:val="auto"/>
                <w:vertAlign w:val="subscript"/>
              </w:rPr>
              <w:t>%</w:t>
            </w:r>
          </w:p>
        </w:tc>
      </w:tr>
      <w:tr>
        <w:trPr>
          <w:trHeight w:val="20"/>
        </w:trPr>
        <w:tc>
          <w:tcPr>
            <w:tcW w:w="3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The Company invests in low income housing tax credit and solar tax funds that are designed to generate a return primarily through the realization of federal tax credits. The Company accounts for these investments by amortizing the cost of tax credit investments over the life of the investment using a proportional amortization method and tax credit investment amortization expense is a component of the provision for income taxes. For the year ended December 31, 2024, tax credits and other benefits recognized was $21.3 million and the tax credit amortization expense included in the provision for income taxes was $17.4 million.</w:t>
      </w:r>
    </w:p>
    <w:p>
      <w:pPr>
        <w:spacing w:after="0" w:line="155" w:lineRule="exact"/>
        <w:rPr>
          <w:sz w:val="20"/>
          <w:szCs w:val="20"/>
          <w:color w:val="auto"/>
        </w:rPr>
      </w:pPr>
    </w:p>
    <w:p>
      <w:pPr>
        <w:jc w:val="center"/>
        <w:ind w:left="740" w:right="520"/>
        <w:spacing w:after="0" w:line="384" w:lineRule="auto"/>
        <w:rPr>
          <w:sz w:val="20"/>
          <w:szCs w:val="20"/>
          <w:color w:val="auto"/>
        </w:rPr>
      </w:pPr>
      <w:r>
        <w:rPr>
          <w:rFonts w:ascii="Times New Roman" w:cs="Times New Roman" w:eastAsia="Times New Roman" w:hAnsi="Times New Roman"/>
          <w:sz w:val="16"/>
          <w:szCs w:val="16"/>
          <w:color w:val="auto"/>
        </w:rPr>
        <w:t>The following table presents the balances of the Company's tax credit investments and related unfunded commitments at December 31, 2024 and 2023.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407035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20" w:name="page121"/>
    <w:bookmarkEnd w:id="120"/>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680" w:type="dxa"/>
            <w:vAlign w:val="bottom"/>
          </w:tcPr>
          <w:p>
            <w:pPr>
              <w:spacing w:after="0"/>
              <w:rPr>
                <w:sz w:val="17"/>
                <w:szCs w:val="17"/>
                <w:color w:val="auto"/>
              </w:rPr>
            </w:pPr>
          </w:p>
        </w:tc>
        <w:tc>
          <w:tcPr>
            <w:tcW w:w="29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6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20" w:type="dxa"/>
            <w:vAlign w:val="bottom"/>
            <w:vMerge w:val="restart"/>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0"/>
        </w:trPr>
        <w:tc>
          <w:tcPr>
            <w:tcW w:w="468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166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Tax credit investments</w:t>
            </w:r>
          </w:p>
        </w:tc>
        <w:tc>
          <w:tcPr>
            <w:tcW w:w="2900" w:type="dxa"/>
            <w:vAlign w:val="bottom"/>
            <w:shd w:val="clear" w:color="auto" w:fill="CFF0FC"/>
          </w:tcPr>
          <w:p>
            <w:pPr>
              <w:jc w:val="right"/>
              <w:ind w:right="10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57,264</w:t>
            </w:r>
          </w:p>
        </w:tc>
        <w:tc>
          <w:tcPr>
            <w:tcW w:w="820" w:type="dxa"/>
            <w:vAlign w:val="bottom"/>
            <w:shd w:val="clear" w:color="auto" w:fill="CFF0FC"/>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17,616</w:t>
            </w: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Unfunded commitments - tax credit investments</w:t>
            </w:r>
          </w:p>
        </w:tc>
        <w:tc>
          <w:tcPr>
            <w:tcW w:w="2900" w:type="dxa"/>
            <w:vAlign w:val="bottom"/>
          </w:tcPr>
          <w:p>
            <w:pPr>
              <w:jc w:val="right"/>
              <w:ind w:right="10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45,809</w:t>
            </w:r>
          </w:p>
        </w:tc>
        <w:tc>
          <w:tcPr>
            <w:tcW w:w="8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3,883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presents other information related to the Company's tax credit investments for the years ended December 31, 2024, 2023, and 2022.</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0"/>
        </w:trPr>
        <w:tc>
          <w:tcPr>
            <w:tcW w:w="5400" w:type="dxa"/>
            <w:vAlign w:val="bottom"/>
          </w:tcPr>
          <w:p>
            <w:pPr>
              <w:spacing w:after="0"/>
              <w:rPr>
                <w:sz w:val="15"/>
                <w:szCs w:val="15"/>
                <w:color w:val="auto"/>
              </w:rPr>
            </w:pPr>
          </w:p>
        </w:tc>
        <w:tc>
          <w:tcPr>
            <w:tcW w:w="1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jc w:val="right"/>
              <w:ind w:right="602"/>
              <w:spacing w:after="0" w:line="180" w:lineRule="exact"/>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5"/>
                <w:szCs w:val="15"/>
                <w:color w:val="auto"/>
              </w:rPr>
            </w:pPr>
          </w:p>
        </w:tc>
        <w:tc>
          <w:tcPr>
            <w:tcW w:w="90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195"/>
        </w:trPr>
        <w:tc>
          <w:tcPr>
            <w:tcW w:w="5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2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i w:val="1"/>
                <w:iCs w:val="1"/>
                <w:color w:val="auto"/>
                <w:w w:val="99"/>
              </w:rPr>
              <w:t>(Dollars in thousands)</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0"/>
        </w:trPr>
        <w:tc>
          <w:tcPr>
            <w:tcW w:w="54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1740" w:type="dxa"/>
            <w:vAlign w:val="bottom"/>
            <w:shd w:val="clear" w:color="auto" w:fill="CFF0FC"/>
          </w:tcPr>
          <w:p>
            <w:pPr>
              <w:jc w:val="right"/>
              <w:ind w:right="6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21,257</w:t>
            </w:r>
          </w:p>
        </w:tc>
        <w:tc>
          <w:tcPr>
            <w:tcW w:w="4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16,239</w:t>
            </w:r>
          </w:p>
        </w:tc>
        <w:tc>
          <w:tcPr>
            <w:tcW w:w="3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2,157</w:t>
            </w:r>
          </w:p>
        </w:tc>
      </w:tr>
      <w:tr>
        <w:trPr>
          <w:trHeight w:val="20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 amortization expense included in provision for income taxes</w:t>
            </w:r>
          </w:p>
        </w:tc>
        <w:tc>
          <w:tcPr>
            <w:tcW w:w="174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17,421</w:t>
            </w:r>
          </w:p>
        </w:tc>
        <w:tc>
          <w:tcPr>
            <w:tcW w:w="4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14,102</w:t>
            </w: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2,018</w:t>
            </w:r>
          </w:p>
        </w:tc>
      </w:tr>
    </w:tbl>
    <w:p>
      <w:pPr>
        <w:spacing w:after="0" w:line="144" w:lineRule="exact"/>
        <w:rPr>
          <w:sz w:val="20"/>
          <w:szCs w:val="20"/>
          <w:color w:val="auto"/>
        </w:rPr>
      </w:pPr>
    </w:p>
    <w:p>
      <w:pPr>
        <w:ind w:left="20" w:right="500" w:firstLine="588"/>
        <w:spacing w:after="0" w:line="259" w:lineRule="auto"/>
        <w:rPr>
          <w:sz w:val="20"/>
          <w:szCs w:val="20"/>
          <w:color w:val="auto"/>
        </w:rPr>
      </w:pPr>
      <w:r>
        <w:rPr>
          <w:rFonts w:ascii="Times New Roman" w:cs="Times New Roman" w:eastAsia="Times New Roman" w:hAnsi="Times New Roman"/>
          <w:sz w:val="16"/>
          <w:szCs w:val="16"/>
          <w:color w:val="auto"/>
        </w:rPr>
        <w:t>There were no significant unrecognized tax benefits at December 31, 2024 and 2023. We do not expect the total amount of unrecognized tax benefits to significantly increase or decrease within the next twelve months.</w:t>
      </w:r>
    </w:p>
    <w:p>
      <w:pPr>
        <w:spacing w:after="0" w:line="119" w:lineRule="exact"/>
        <w:rPr>
          <w:sz w:val="20"/>
          <w:szCs w:val="20"/>
          <w:color w:val="auto"/>
        </w:rPr>
      </w:pPr>
    </w:p>
    <w:p>
      <w:pPr>
        <w:ind w:left="20" w:right="200" w:firstLine="588"/>
        <w:spacing w:after="0" w:line="247" w:lineRule="auto"/>
        <w:rPr>
          <w:sz w:val="20"/>
          <w:szCs w:val="20"/>
          <w:color w:val="auto"/>
        </w:rPr>
      </w:pPr>
      <w:r>
        <w:rPr>
          <w:rFonts w:ascii="Times New Roman" w:cs="Times New Roman" w:eastAsia="Times New Roman" w:hAnsi="Times New Roman"/>
          <w:sz w:val="16"/>
          <w:szCs w:val="16"/>
          <w:color w:val="auto"/>
        </w:rPr>
        <w:t>The Company is subject to income taxes in the federal, California, Arizona and three other non- material jurisdictions. The Company is no longer subject to examinations by taxing jurisdictions for periods before 2020, with the exception of California, for which the Company is no longer subject to examination for years before 2013.</w:t>
      </w:r>
    </w:p>
    <w:p>
      <w:pPr>
        <w:spacing w:after="0" w:line="128" w:lineRule="exact"/>
        <w:rPr>
          <w:sz w:val="20"/>
          <w:szCs w:val="20"/>
          <w:color w:val="auto"/>
        </w:rPr>
      </w:pPr>
    </w:p>
    <w:p>
      <w:pPr>
        <w:ind w:left="20" w:right="200" w:firstLine="588"/>
        <w:spacing w:after="0" w:line="243" w:lineRule="auto"/>
        <w:rPr>
          <w:sz w:val="20"/>
          <w:szCs w:val="20"/>
          <w:color w:val="auto"/>
        </w:rPr>
      </w:pPr>
      <w:r>
        <w:rPr>
          <w:rFonts w:ascii="Times New Roman" w:cs="Times New Roman" w:eastAsia="Times New Roman" w:hAnsi="Times New Roman"/>
          <w:sz w:val="16"/>
          <w:szCs w:val="16"/>
          <w:color w:val="auto"/>
        </w:rPr>
        <w:t>At December 31, 2024, the Company has net operating loss (NOLs) carryforwards of approximately $7.9 million for federal and $7.9 million California tax purposes, as a result of the acquisition of Suncrest Bank. The federal and California NOLs of approximately $6.4 and $5.7 million, respectively, are subject to annual IRC Section 382 limitations of $3.4 million and have no expiration for federal tax purposes but will expire in 2032 for California if not utilized. The balance of the NOLs are subject to annual IRC Section 382 limitations of $314,000 and will begin to expire in 2030.</w:t>
      </w:r>
    </w:p>
    <w:p>
      <w:pPr>
        <w:spacing w:after="0" w:line="131" w:lineRule="exact"/>
        <w:rPr>
          <w:sz w:val="20"/>
          <w:szCs w:val="20"/>
          <w:color w:val="auto"/>
        </w:rPr>
      </w:pPr>
    </w:p>
    <w:p>
      <w:pPr>
        <w:ind w:left="20" w:right="180" w:firstLine="588"/>
        <w:spacing w:after="0" w:line="247" w:lineRule="auto"/>
        <w:rPr>
          <w:sz w:val="20"/>
          <w:szCs w:val="20"/>
          <w:color w:val="auto"/>
        </w:rPr>
      </w:pPr>
      <w:r>
        <w:rPr>
          <w:rFonts w:ascii="Times New Roman" w:cs="Times New Roman" w:eastAsia="Times New Roman" w:hAnsi="Times New Roman"/>
          <w:sz w:val="16"/>
          <w:szCs w:val="16"/>
          <w:color w:val="auto"/>
        </w:rPr>
        <w:t>The Company considered the need for a valuation allowance on its deferred tax assets for the year ended December 31, 2024. The Company considered income in prior periods, projected future income, and projected future reversals of deferred tax items in making the determination that the deferred tax assets are more likely than not to be realized.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DEPOSITS</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composition of deposits is summarized for the periods presented in the table below.</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2023</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46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gridSpan w:val="2"/>
          </w:tcPr>
          <w:p>
            <w:pPr>
              <w:jc w:val="right"/>
              <w:ind w:right="500"/>
              <w:spacing w:after="0" w:line="181" w:lineRule="exact"/>
              <w:rPr>
                <w:sz w:val="20"/>
                <w:szCs w:val="20"/>
                <w:color w:val="auto"/>
              </w:rPr>
            </w:pPr>
            <w:r>
              <w:rPr>
                <w:rFonts w:ascii="Times New Roman" w:cs="Times New Roman" w:eastAsia="Times New Roman" w:hAnsi="Times New Roman"/>
                <w:sz w:val="16"/>
                <w:szCs w:val="16"/>
                <w:b w:val="1"/>
                <w:bCs w:val="1"/>
                <w:color w:val="auto"/>
              </w:rPr>
              <w:t>Percent</w:t>
            </w:r>
          </w:p>
        </w:tc>
        <w:tc>
          <w:tcPr>
            <w:tcW w:w="200" w:type="dxa"/>
            <w:vAlign w:val="bottom"/>
          </w:tcPr>
          <w:p>
            <w:pPr>
              <w:spacing w:after="0"/>
              <w:rPr>
                <w:sz w:val="15"/>
                <w:szCs w:val="15"/>
                <w:color w:val="auto"/>
              </w:rPr>
            </w:pPr>
          </w:p>
        </w:tc>
        <w:tc>
          <w:tcPr>
            <w:tcW w:w="1120" w:type="dxa"/>
            <w:vAlign w:val="bottom"/>
            <w:gridSpan w:val="2"/>
          </w:tcPr>
          <w:p>
            <w:pPr>
              <w:jc w:val="right"/>
              <w:ind w:right="46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right"/>
              <w:ind w:right="380"/>
              <w:spacing w:after="0" w:line="181" w:lineRule="exact"/>
              <w:rPr>
                <w:sz w:val="20"/>
                <w:szCs w:val="20"/>
                <w:color w:val="auto"/>
              </w:rPr>
            </w:pPr>
            <w:r>
              <w:rPr>
                <w:rFonts w:ascii="Times New Roman" w:cs="Times New Roman" w:eastAsia="Times New Roman" w:hAnsi="Times New Roman"/>
                <w:sz w:val="16"/>
                <w:szCs w:val="16"/>
                <w:b w:val="1"/>
                <w:bCs w:val="1"/>
                <w:color w:val="auto"/>
              </w:rPr>
              <w:t>Percent</w:t>
            </w:r>
          </w:p>
        </w:tc>
      </w:tr>
      <w:tr>
        <w:trPr>
          <w:trHeight w:val="182"/>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4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7,037,096</w:t>
            </w:r>
          </w:p>
        </w:tc>
        <w:tc>
          <w:tcPr>
            <w:tcW w:w="1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58.90%</w:t>
            </w:r>
          </w:p>
        </w:tc>
        <w:tc>
          <w:tcPr>
            <w:tcW w:w="2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7,206,175</w:t>
            </w:r>
          </w:p>
        </w:tc>
        <w:tc>
          <w:tcPr>
            <w:tcW w:w="1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63.03%</w:t>
            </w:r>
          </w:p>
        </w:tc>
      </w:tr>
      <w:tr>
        <w:trPr>
          <w:trHeight w:val="180"/>
        </w:trPr>
        <w:tc>
          <w:tcPr>
            <w:tcW w:w="4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45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Investment checking</w:t>
            </w: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551,305</w:t>
            </w:r>
          </w:p>
        </w:tc>
        <w:tc>
          <w:tcPr>
            <w:tcW w:w="12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4.61%</w:t>
            </w: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552,408</w:t>
            </w:r>
          </w:p>
        </w:tc>
        <w:tc>
          <w:tcPr>
            <w:tcW w:w="11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4.83%</w:t>
            </w:r>
          </w:p>
        </w:tc>
      </w:tr>
      <w:tr>
        <w:trPr>
          <w:trHeight w:val="180"/>
        </w:trPr>
        <w:tc>
          <w:tcPr>
            <w:tcW w:w="45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3,363,804</w:t>
            </w:r>
          </w:p>
        </w:tc>
        <w:tc>
          <w:tcPr>
            <w:tcW w:w="180" w:type="dxa"/>
            <w:vAlign w:val="bottom"/>
          </w:tcPr>
          <w:p>
            <w:pPr>
              <w:spacing w:after="0"/>
              <w:rPr>
                <w:sz w:val="15"/>
                <w:szCs w:val="15"/>
                <w:color w:val="auto"/>
              </w:rPr>
            </w:pPr>
          </w:p>
        </w:tc>
        <w:tc>
          <w:tcPr>
            <w:tcW w:w="12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28.15%</w:t>
            </w:r>
          </w:p>
        </w:tc>
        <w:tc>
          <w:tcPr>
            <w:tcW w:w="2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2,821,344</w:t>
            </w:r>
          </w:p>
        </w:tc>
        <w:tc>
          <w:tcPr>
            <w:tcW w:w="180" w:type="dxa"/>
            <w:vAlign w:val="bottom"/>
          </w:tcPr>
          <w:p>
            <w:pPr>
              <w:spacing w:after="0"/>
              <w:rPr>
                <w:sz w:val="15"/>
                <w:szCs w:val="15"/>
                <w:color w:val="auto"/>
              </w:rPr>
            </w:pPr>
          </w:p>
        </w:tc>
        <w:tc>
          <w:tcPr>
            <w:tcW w:w="1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24.67%</w:t>
            </w:r>
          </w:p>
        </w:tc>
      </w:tr>
      <w:tr>
        <w:trPr>
          <w:trHeight w:val="180"/>
        </w:trPr>
        <w:tc>
          <w:tcPr>
            <w:tcW w:w="45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Savings</w:t>
            </w: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422,583</w:t>
            </w:r>
          </w:p>
        </w:tc>
        <w:tc>
          <w:tcPr>
            <w:tcW w:w="12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3.54%</w:t>
            </w: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457,320</w:t>
            </w:r>
          </w:p>
        </w:tc>
        <w:tc>
          <w:tcPr>
            <w:tcW w:w="11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4.00%</w:t>
            </w:r>
          </w:p>
        </w:tc>
      </w:tr>
      <w:tr>
        <w:trPr>
          <w:trHeight w:val="180"/>
        </w:trPr>
        <w:tc>
          <w:tcPr>
            <w:tcW w:w="45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tcPr>
          <w:p>
            <w:pPr>
              <w:spacing w:after="0"/>
              <w:rPr>
                <w:sz w:val="15"/>
                <w:szCs w:val="15"/>
                <w:color w:val="auto"/>
              </w:rPr>
            </w:pPr>
          </w:p>
        </w:tc>
        <w:tc>
          <w:tcPr>
            <w:tcW w:w="11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573,593</w:t>
            </w:r>
          </w:p>
        </w:tc>
        <w:tc>
          <w:tcPr>
            <w:tcW w:w="12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4.80%</w:t>
            </w:r>
          </w:p>
        </w:tc>
        <w:tc>
          <w:tcPr>
            <w:tcW w:w="20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396,395</w:t>
            </w:r>
          </w:p>
        </w:tc>
        <w:tc>
          <w:tcPr>
            <w:tcW w:w="1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3.47%</w:t>
            </w:r>
          </w:p>
        </w:tc>
      </w:tr>
      <w:tr>
        <w:trPr>
          <w:trHeight w:val="200"/>
        </w:trPr>
        <w:tc>
          <w:tcPr>
            <w:tcW w:w="4500" w:type="dxa"/>
            <w:vAlign w:val="bottom"/>
            <w:shd w:val="clear" w:color="auto" w:fill="CFF0FC"/>
          </w:tcPr>
          <w:p>
            <w:pPr>
              <w:ind w:left="320"/>
              <w:spacing w:after="0" w:line="160" w:lineRule="exact"/>
              <w:rPr>
                <w:sz w:val="20"/>
                <w:szCs w:val="20"/>
                <w:color w:val="auto"/>
              </w:rPr>
            </w:pPr>
            <w:r>
              <w:rPr>
                <w:rFonts w:ascii="Times New Roman" w:cs="Times New Roman" w:eastAsia="Times New Roman" w:hAnsi="Times New Roman"/>
                <w:sz w:val="16"/>
                <w:szCs w:val="16"/>
                <w:color w:val="auto"/>
              </w:rPr>
              <w:t>Total deposits</w:t>
            </w:r>
          </w:p>
        </w:tc>
        <w:tc>
          <w:tcPr>
            <w:tcW w:w="20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11,948,381</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20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11,433,642</w:t>
            </w:r>
          </w:p>
        </w:tc>
        <w:tc>
          <w:tcPr>
            <w:tcW w:w="1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Time deposits with balances of $250,000 or more amounted to approximately $101.5 million and $206.4 million at December 31, 2024 and 2023, respectively.</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At December 31, 2024, the scheduled maturities of time certificates of deposit are as follows.</w:t>
      </w:r>
    </w:p>
    <w:p>
      <w:pPr>
        <w:spacing w:after="0" w:line="9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21" w:name="page122"/>
    <w:bookmarkEnd w:id="121"/>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Year of maturity:</w:t>
            </w:r>
          </w:p>
        </w:tc>
        <w:tc>
          <w:tcPr>
            <w:tcW w:w="3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0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42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562,275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0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3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8,097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0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39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1,695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0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3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0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2029 and thereafter</w:t>
            </w:r>
          </w:p>
        </w:tc>
        <w:tc>
          <w:tcPr>
            <w:tcW w:w="39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822</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0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42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573,593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00" w:type="dxa"/>
            <w:vAlign w:val="bottom"/>
            <w:vMerge w:val="restart"/>
          </w:tcPr>
          <w:p>
            <w:pPr>
              <w:jc w:val="right"/>
              <w:ind w:right="1962"/>
              <w:spacing w:after="0"/>
              <w:rPr>
                <w:sz w:val="20"/>
                <w:szCs w:val="20"/>
                <w:color w:val="auto"/>
              </w:rPr>
            </w:pPr>
            <w:r>
              <w:rPr>
                <w:rFonts w:ascii="Times New Roman" w:cs="Times New Roman" w:eastAsia="Times New Roman" w:hAnsi="Times New Roman"/>
                <w:sz w:val="16"/>
                <w:szCs w:val="16"/>
                <w:color w:val="auto"/>
              </w:rPr>
              <w:t>121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540" w:type="dxa"/>
            <w:vAlign w:val="bottom"/>
            <w:tcBorders>
              <w:bottom w:val="single" w:sz="8" w:color="EEEEEE"/>
            </w:tcBorders>
          </w:tcPr>
          <w:p>
            <w:pPr>
              <w:spacing w:after="0"/>
              <w:rPr>
                <w:sz w:val="24"/>
                <w:szCs w:val="24"/>
                <w:color w:val="auto"/>
              </w:rPr>
            </w:pPr>
          </w:p>
        </w:tc>
        <w:tc>
          <w:tcPr>
            <w:tcW w:w="3000" w:type="dxa"/>
            <w:vAlign w:val="bottom"/>
            <w:tcBorders>
              <w:bottom w:val="single" w:sz="8" w:color="EEEEEE"/>
            </w:tcBorders>
          </w:tcPr>
          <w:p>
            <w:pPr>
              <w:spacing w:after="0"/>
              <w:rPr>
                <w:sz w:val="24"/>
                <w:szCs w:val="24"/>
                <w:color w:val="auto"/>
              </w:rPr>
            </w:pPr>
          </w:p>
        </w:tc>
        <w:tc>
          <w:tcPr>
            <w:tcW w:w="39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1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2" w:name="page123"/>
    <w:bookmarkEnd w:id="122"/>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BORROWINGS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Customer Repurchase Agreements</w:t>
      </w:r>
    </w:p>
    <w:p>
      <w:pPr>
        <w:spacing w:after="0" w:line="192" w:lineRule="exact"/>
        <w:rPr>
          <w:sz w:val="20"/>
          <w:szCs w:val="20"/>
          <w:color w:val="auto"/>
        </w:rPr>
      </w:pPr>
    </w:p>
    <w:p>
      <w:pPr>
        <w:ind w:left="20" w:right="60" w:firstLine="588"/>
        <w:spacing w:after="0" w:line="241" w:lineRule="auto"/>
        <w:rPr>
          <w:sz w:val="20"/>
          <w:szCs w:val="20"/>
          <w:color w:val="auto"/>
        </w:rPr>
      </w:pPr>
      <w:r>
        <w:rPr>
          <w:rFonts w:ascii="Times New Roman" w:cs="Times New Roman" w:eastAsia="Times New Roman" w:hAnsi="Times New Roman"/>
          <w:sz w:val="16"/>
          <w:szCs w:val="16"/>
          <w:color w:val="auto"/>
        </w:rPr>
        <w:t>The Bank offers a repurchase agreement product to its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December 31, 2024, total funds borrowed under these agreements were $261.9 million with a weighted average interest rate of 0.72%, compared to $271.6 million with a weighted average interest rate of 0.29% at December 31, 2023.</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Federal Home Loan Bank Advances and Other Borrowings</w:t>
      </w:r>
    </w:p>
    <w:p>
      <w:pPr>
        <w:spacing w:after="0" w:line="156" w:lineRule="exact"/>
        <w:rPr>
          <w:sz w:val="20"/>
          <w:szCs w:val="20"/>
          <w:color w:val="auto"/>
        </w:rPr>
      </w:pPr>
    </w:p>
    <w:p>
      <w:pPr>
        <w:ind w:left="20" w:right="140" w:firstLine="600"/>
        <w:spacing w:after="0" w:line="289" w:lineRule="auto"/>
        <w:rPr>
          <w:sz w:val="20"/>
          <w:szCs w:val="20"/>
          <w:color w:val="auto"/>
        </w:rPr>
      </w:pPr>
      <w:r>
        <w:rPr>
          <w:rFonts w:ascii="Times New Roman" w:cs="Times New Roman" w:eastAsia="Times New Roman" w:hAnsi="Times New Roman"/>
          <w:sz w:val="14"/>
          <w:szCs w:val="14"/>
          <w:color w:val="auto"/>
        </w:rPr>
        <w:t>As of December 31, 2024, total borrowings were $500 million and consisted of advances from the FHLB, at an average rate of 4.6%. The FHLB advances include $300 million, at a fixed rate of 4.73%, maturing in May 2026, and $200 million, at a fixed rate of 4.27%, maturing in May of 2027. As of December 31, 2023, total short-term borrowings were $ 2.07 billion, and consisted of $1.91 billion of one- year advances from the Federal Reserve’s Bank Term Funding Program (“BTFP”) at a cost of 4.78%, which replaced higher cost borrowings from the FHLB, and $160 million of short-term FHLB advances, at an average cost of approximately 5.7%.</w:t>
      </w:r>
    </w:p>
    <w:p>
      <w:pPr>
        <w:spacing w:after="0" w:line="137" w:lineRule="exact"/>
        <w:rPr>
          <w:sz w:val="20"/>
          <w:szCs w:val="20"/>
          <w:color w:val="auto"/>
        </w:rPr>
      </w:pPr>
    </w:p>
    <w:p>
      <w:pPr>
        <w:ind w:left="20" w:right="160" w:firstLine="588"/>
        <w:spacing w:after="0" w:line="259" w:lineRule="auto"/>
        <w:rPr>
          <w:sz w:val="20"/>
          <w:szCs w:val="20"/>
          <w:color w:val="auto"/>
        </w:rPr>
      </w:pPr>
      <w:r>
        <w:rPr>
          <w:rFonts w:ascii="Times New Roman" w:cs="Times New Roman" w:eastAsia="Times New Roman" w:hAnsi="Times New Roman"/>
          <w:sz w:val="16"/>
          <w:szCs w:val="16"/>
          <w:color w:val="auto"/>
        </w:rPr>
        <w:t>At December 31, 2024, $4.44 billion of loans and $4.79 billion of investment securities, at carrying value, were pledged to secure public deposits, repurchase agreements, borrowing lines, and for other purposes as required or permitted by law.</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COMMITMENTS AND CONTINGENCIES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Commitments</w:t>
      </w:r>
    </w:p>
    <w:p>
      <w:pPr>
        <w:spacing w:after="0" w:line="156" w:lineRule="exact"/>
        <w:rPr>
          <w:sz w:val="20"/>
          <w:szCs w:val="20"/>
          <w:color w:val="auto"/>
        </w:rPr>
      </w:pPr>
    </w:p>
    <w:p>
      <w:pPr>
        <w:ind w:left="20" w:firstLine="588"/>
        <w:spacing w:after="0" w:line="239" w:lineRule="auto"/>
        <w:rPr>
          <w:sz w:val="20"/>
          <w:szCs w:val="20"/>
          <w:color w:val="auto"/>
        </w:rPr>
      </w:pPr>
      <w:r>
        <w:rPr>
          <w:rFonts w:ascii="Times New Roman" w:cs="Times New Roman" w:eastAsia="Times New Roman" w:hAnsi="Times New Roman"/>
          <w:sz w:val="16"/>
          <w:szCs w:val="16"/>
          <w:color w:val="auto"/>
        </w:rPr>
        <w:t>At December 31, 2024 and 2023, the Bank had commitments to extend credit of approximately $1.72 billion and $1.71 billion, respectively, and obligations under letters of credit of $60.0 million and $54.3 million, respectively.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 -balance sheet instruments, which consist of evaluating customers’ creditworthiness individually. The Bank had a reserve for unfunded loan commitments of $6.3 million and $7.5 million as of December 31, 2024 and 2023, respectively, which is included in other liabilities.</w:t>
      </w:r>
    </w:p>
    <w:p>
      <w:pPr>
        <w:spacing w:after="0" w:line="134" w:lineRule="exact"/>
        <w:rPr>
          <w:sz w:val="20"/>
          <w:szCs w:val="20"/>
          <w:color w:val="auto"/>
        </w:rPr>
      </w:pPr>
    </w:p>
    <w:p>
      <w:pPr>
        <w:ind w:left="20" w:right="120" w:firstLine="588"/>
        <w:spacing w:after="0" w:line="243" w:lineRule="auto"/>
        <w:rPr>
          <w:sz w:val="20"/>
          <w:szCs w:val="20"/>
          <w:color w:val="auto"/>
        </w:rPr>
      </w:pPr>
      <w:r>
        <w:rPr>
          <w:rFonts w:ascii="Times New Roman" w:cs="Times New Roman" w:eastAsia="Times New Roman" w:hAnsi="Times New Roman"/>
          <w:sz w:val="16"/>
          <w:szCs w:val="16"/>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 Management does not anticipate any material losses as a result of these transactions.</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invest in LIHTC, tax credit and other CRA-related investments that call for capital contributions up to an amount specified in the partnership agreements.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 December 31, 2024 and December 31, 2023, we had commitments to contribute capital to these entities totaling $45.8 million and $8.7 million.</w:t>
      </w:r>
    </w:p>
    <w:p>
      <w:pPr>
        <w:spacing w:after="0" w:line="134" w:lineRule="exact"/>
        <w:rPr>
          <w:sz w:val="20"/>
          <w:szCs w:val="20"/>
          <w:color w:val="auto"/>
        </w:rPr>
      </w:pPr>
    </w:p>
    <w:p>
      <w:pPr>
        <w:ind w:left="20" w:right="380" w:firstLine="588"/>
        <w:spacing w:after="0" w:line="247" w:lineRule="auto"/>
        <w:rPr>
          <w:sz w:val="20"/>
          <w:szCs w:val="20"/>
          <w:color w:val="auto"/>
        </w:rPr>
      </w:pPr>
      <w:r>
        <w:rPr>
          <w:rFonts w:ascii="Times New Roman" w:cs="Times New Roman" w:eastAsia="Times New Roman" w:hAnsi="Times New Roman"/>
          <w:sz w:val="16"/>
          <w:szCs w:val="16"/>
          <w:color w:val="auto"/>
        </w:rPr>
        <w:t>At December 31, 2024, the Bank had $0.50 billion in borrowings with the FHLB. The Bank's secured borrowing capacity with the FHLB and FRB totaled $5.73 billion, of which $5.23 billion was available as of December 31, 2024. The Bank also has $305.0 million in Fed Funds lines of credit with other major U.S. banks. These lines of credit are available for overnight borrowings.</w:t>
      </w:r>
    </w:p>
    <w:p>
      <w:pPr>
        <w:spacing w:after="0" w:line="128" w:lineRule="exact"/>
        <w:rPr>
          <w:sz w:val="20"/>
          <w:szCs w:val="20"/>
          <w:color w:val="auto"/>
        </w:rPr>
      </w:pPr>
    </w:p>
    <w:p>
      <w:pPr>
        <w:ind w:left="20" w:right="20" w:firstLine="600"/>
        <w:spacing w:after="0" w:line="247" w:lineRule="auto"/>
        <w:rPr>
          <w:sz w:val="20"/>
          <w:szCs w:val="20"/>
          <w:color w:val="auto"/>
        </w:rPr>
      </w:pPr>
      <w:r>
        <w:rPr>
          <w:rFonts w:ascii="Times New Roman" w:cs="Times New Roman" w:eastAsia="Times New Roman" w:hAnsi="Times New Roman"/>
          <w:sz w:val="16"/>
          <w:szCs w:val="16"/>
          <w:color w:val="auto"/>
        </w:rPr>
        <w:t>At December 31, 2024, investment securities with carrying values of 2.79 billion were pledged to secure various types of deposits, including $1.18 billion of public funds, $315 million for repurchase agreements and $57 million for other purposes as required or permitted by law. In addition, investment securities with carrying values of $1.63 billion were pledged for unused borrowing capacity.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Contingencies</w:t>
      </w:r>
    </w:p>
    <w:p>
      <w:pPr>
        <w:spacing w:after="0" w:line="156" w:lineRule="exact"/>
        <w:rPr>
          <w:sz w:val="20"/>
          <w:szCs w:val="20"/>
          <w:color w:val="auto"/>
        </w:rPr>
      </w:pPr>
    </w:p>
    <w:p>
      <w:pPr>
        <w:ind w:left="20" w:right="200" w:firstLine="588"/>
        <w:spacing w:after="0" w:line="243" w:lineRule="auto"/>
        <w:rPr>
          <w:sz w:val="20"/>
          <w:szCs w:val="20"/>
          <w:color w:val="auto"/>
        </w:rPr>
      </w:pPr>
      <w:r>
        <w:rPr>
          <w:rFonts w:ascii="Times New Roman" w:cs="Times New Roman" w:eastAsia="Times New Roman" w:hAnsi="Times New Roman"/>
          <w:sz w:val="16"/>
          <w:szCs w:val="16"/>
          <w:color w:val="auto"/>
        </w:rPr>
        <w:t>The Company and its subsidiaries are parties to various lawsuits and threatened lawsuits in the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bankruptcy-related claims and negligence claims, some of which may be styled as “class action” or representative cases. Some of these lawsuits may be similar in nature to other lawsuits pending against the Company’s competitors.</w:t>
      </w:r>
    </w:p>
    <w:p>
      <w:pPr>
        <w:spacing w:after="0" w:line="131" w:lineRule="exact"/>
        <w:rPr>
          <w:sz w:val="20"/>
          <w:szCs w:val="20"/>
          <w:color w:val="auto"/>
        </w:rPr>
      </w:pPr>
    </w:p>
    <w:p>
      <w:pPr>
        <w:ind w:left="20" w:right="80" w:firstLine="588"/>
        <w:spacing w:after="0" w:line="238" w:lineRule="auto"/>
        <w:rPr>
          <w:sz w:val="20"/>
          <w:szCs w:val="20"/>
          <w:color w:val="auto"/>
        </w:rPr>
      </w:pPr>
      <w:r>
        <w:rPr>
          <w:rFonts w:ascii="Times New Roman" w:cs="Times New Roman" w:eastAsia="Times New Roman" w:hAnsi="Times New Roman"/>
          <w:sz w:val="16"/>
          <w:szCs w:val="16"/>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34" w:lineRule="exact"/>
        <w:rPr>
          <w:sz w:val="20"/>
          <w:szCs w:val="20"/>
          <w:color w:val="auto"/>
        </w:rPr>
      </w:pPr>
    </w:p>
    <w:p>
      <w:pPr>
        <w:ind w:left="20" w:right="40" w:firstLine="600"/>
        <w:spacing w:after="0" w:line="243" w:lineRule="auto"/>
        <w:rPr>
          <w:sz w:val="20"/>
          <w:szCs w:val="20"/>
          <w:color w:val="auto"/>
        </w:rPr>
      </w:pPr>
      <w:r>
        <w:rPr>
          <w:rFonts w:ascii="Times New Roman" w:cs="Times New Roman" w:eastAsia="Times New Roman" w:hAnsi="Times New Roman"/>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31" w:lineRule="exact"/>
        <w:rPr>
          <w:sz w:val="20"/>
          <w:szCs w:val="20"/>
          <w:color w:val="auto"/>
        </w:rPr>
      </w:pPr>
    </w:p>
    <w:p>
      <w:pPr>
        <w:ind w:left="20" w:right="220" w:firstLine="588"/>
        <w:spacing w:after="0" w:line="243" w:lineRule="auto"/>
        <w:rPr>
          <w:sz w:val="20"/>
          <w:szCs w:val="20"/>
          <w:color w:val="auto"/>
        </w:rPr>
      </w:pPr>
      <w:r>
        <w:rPr>
          <w:rFonts w:ascii="Times New Roman" w:cs="Times New Roman" w:eastAsia="Times New Roman" w:hAnsi="Times New Roman"/>
          <w:sz w:val="16"/>
          <w:szCs w:val="16"/>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EMPLOYEE BENEFIT PLANS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Deferred Compensation Plans</w:t>
      </w:r>
    </w:p>
    <w:p>
      <w:pPr>
        <w:spacing w:after="0" w:line="156" w:lineRule="exact"/>
        <w:rPr>
          <w:sz w:val="20"/>
          <w:szCs w:val="20"/>
          <w:color w:val="auto"/>
        </w:rPr>
      </w:pPr>
    </w:p>
    <w:p>
      <w:pPr>
        <w:ind w:left="20" w:firstLine="588"/>
        <w:spacing w:after="0" w:line="237" w:lineRule="auto"/>
        <w:rPr>
          <w:sz w:val="20"/>
          <w:szCs w:val="20"/>
          <w:color w:val="auto"/>
        </w:rPr>
      </w:pPr>
      <w:r>
        <w:rPr>
          <w:rFonts w:ascii="Times New Roman" w:cs="Times New Roman" w:eastAsia="Times New Roman" w:hAnsi="Times New Roman"/>
          <w:sz w:val="16"/>
          <w:szCs w:val="16"/>
          <w:color w:val="auto"/>
        </w:rPr>
        <w:t>As of December 31, 2024 the Company had various deferred compensation plans, which included a deferred compensation plan for its former President and Chief Executive Officer, Christopher D. Myers, and severance arrangements it assumed through the acquisition of other banks in prior years. We also offer a non-qualified deferred compensation plan for our executives and key members of management in order to assist us in attracting and retaining these individuals. Participants in the plan may elect to defer a portion of their annual salary and/or short- term incentive payouts into deferral accounts to provide a means by which they may elect to defer receipt of compensation in order to provide retirement benefits. The plan is intended to be unfunded and allows us to make discretionary contributions on behalf of a participant. No discretionary payments were made by the Company during the years ended December 31, 2024, 2023 and 2022. The Bank, however, does fund the cost of these plans through the purchase of bank owned life insurance policies, which are reflected as assets on the Company’s consolidated balance sheets. At December 31, 2024 and 2023, the total deferred compensation liability was $22.9 million and $22.3 million, respectively. Total expense for these deferred compensation agreements was approximately $1.9 million for the year ended December 31, 2024, and was $1.2 million and $534,000 for the years ended December 31, 2023 and 2022, respectively.</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24" w:name="page125"/>
    <w:bookmarkEnd w:id="124"/>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401(k) and Profit Sharing Plan</w:t>
      </w:r>
    </w:p>
    <w:p>
      <w:pPr>
        <w:spacing w:after="0" w:line="156" w:lineRule="exact"/>
        <w:rPr>
          <w:sz w:val="20"/>
          <w:szCs w:val="20"/>
          <w:color w:val="auto"/>
        </w:rPr>
      </w:pPr>
    </w:p>
    <w:p>
      <w:pPr>
        <w:ind w:left="20" w:right="20" w:firstLine="588"/>
        <w:spacing w:after="0" w:line="241" w:lineRule="auto"/>
        <w:rPr>
          <w:sz w:val="20"/>
          <w:szCs w:val="20"/>
          <w:color w:val="auto"/>
        </w:rPr>
      </w:pPr>
      <w:r>
        <w:rPr>
          <w:rFonts w:ascii="Times New Roman" w:cs="Times New Roman" w:eastAsia="Times New Roman" w:hAnsi="Times New Roman"/>
          <w:sz w:val="16"/>
          <w:szCs w:val="16"/>
          <w:color w:val="auto"/>
        </w:rPr>
        <w:t>The Bank sponsors a 401(k) and profit-sharing plan for the benefit of its employees. Employees are eligible to participate in the plan immediately upon hire. Employees may make contributions to the plan under the plan’s 401(k) component. The Bank contributes 3%, non- matching, to the plan to comply with ERISA’s safe harbor provisions. The Bank may make additional contributions under the plan’s profit- sharing component, subject to certain limitations. The contribution made in 2024 was 1%, compared to 2% for 2023 and 3% for 2022. The Bank’s total contributions are determined by the Board of Directors and amounted to approximately $4.0 million for 2024, $4.8 million for 2023, and $5.2 million for 2022.</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EARNINGS PER SHARE RECONCILIATION</w:t>
      </w:r>
    </w:p>
    <w:p>
      <w:pPr>
        <w:spacing w:after="0" w:line="154" w:lineRule="exact"/>
        <w:rPr>
          <w:sz w:val="20"/>
          <w:szCs w:val="20"/>
          <w:color w:val="auto"/>
        </w:rPr>
      </w:pPr>
    </w:p>
    <w:p>
      <w:pPr>
        <w:ind w:left="20" w:right="120" w:firstLine="588"/>
        <w:spacing w:after="0" w:line="241" w:lineRule="auto"/>
        <w:rPr>
          <w:sz w:val="20"/>
          <w:szCs w:val="20"/>
          <w:color w:val="auto"/>
        </w:rPr>
      </w:pPr>
      <w:r>
        <w:rPr>
          <w:rFonts w:ascii="Times New Roman" w:cs="Times New Roman" w:eastAsia="Times New Roman" w:hAnsi="Times New Roman"/>
          <w:sz w:val="16"/>
          <w:szCs w:val="16"/>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years ended December 31, 2024, 2023 and 2022, shares deemed to be antidilutive, and thus excluded from the computation of earnings per common share were 963,000, 1,044,000 and 236,000, respectively.</w:t>
      </w:r>
    </w:p>
    <w:p>
      <w:pPr>
        <w:spacing w:after="0" w:line="133" w:lineRule="exact"/>
        <w:rPr>
          <w:sz w:val="20"/>
          <w:szCs w:val="20"/>
          <w:color w:val="auto"/>
        </w:rPr>
      </w:pPr>
    </w:p>
    <w:p>
      <w:pPr>
        <w:ind w:left="20" w:firstLine="600"/>
        <w:spacing w:after="0" w:line="259" w:lineRule="auto"/>
        <w:rPr>
          <w:sz w:val="20"/>
          <w:szCs w:val="20"/>
          <w:color w:val="auto"/>
        </w:rPr>
      </w:pPr>
      <w:r>
        <w:rPr>
          <w:rFonts w:ascii="Times New Roman" w:cs="Times New Roman" w:eastAsia="Times New Roman" w:hAnsi="Times New Roman"/>
          <w:sz w:val="16"/>
          <w:szCs w:val="16"/>
          <w:color w:val="auto"/>
        </w:rPr>
        <w:t>The table below shows earnings per common share and diluted earnings per common share, and reconciles the numerator and denominator of both earnings per common share calculations.</w:t>
      </w:r>
    </w:p>
    <w:p>
      <w:pPr>
        <w:sectPr>
          <w:pgSz w:w="11900" w:h="16840" w:orient="portrait"/>
          <w:cols w:equalWidth="0" w:num="1">
            <w:col w:w="10580"/>
          </w:cols>
          <w:pgMar w:left="640" w:top="1417"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-106680</wp:posOffset>
            </wp:positionV>
            <wp:extent cx="6036945" cy="1143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6036945" cy="11430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-2540</wp:posOffset>
            </wp:positionV>
            <wp:extent cx="6036945" cy="1143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6036945" cy="114300"/>
                    </a:xfrm>
                    <a:prstGeom prst="rect">
                      <a:avLst/>
                    </a:prstGeom>
                    <a:noFill/>
                  </pic:spPr>
                </pic:pic>
              </a:graphicData>
            </a:graphic>
          </wp:anchor>
        </w:drawing>
      </w:r>
    </w:p>
    <w:p>
      <w:pPr>
        <w:ind w:left="880"/>
        <w:spacing w:after="0" w:line="234" w:lineRule="auto"/>
        <w:rPr>
          <w:sz w:val="20"/>
          <w:szCs w:val="20"/>
          <w:color w:val="auto"/>
        </w:rPr>
      </w:pPr>
      <w:r>
        <w:rPr>
          <w:rFonts w:ascii="Times New Roman" w:cs="Times New Roman" w:eastAsia="Times New Roman" w:hAnsi="Times New Roman"/>
          <w:sz w:val="16"/>
          <w:szCs w:val="16"/>
          <w:color w:val="auto"/>
        </w:rPr>
        <w:t>Less: Net earnings allocated to restricted stock</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Net earnings allocated to common shareholders</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-107950</wp:posOffset>
            </wp:positionV>
            <wp:extent cx="6036945" cy="1143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6036945" cy="11430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6"/>
          <w:szCs w:val="16"/>
          <w:color w:val="auto"/>
        </w:rPr>
        <w:t>Basic earnings per common share</w:t>
      </w:r>
    </w:p>
    <w:p>
      <w:pPr>
        <w:spacing w:after="0" w:line="2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-106680</wp:posOffset>
            </wp:positionV>
            <wp:extent cx="6036945" cy="1143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6036945" cy="11430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6"/>
          <w:szCs w:val="16"/>
          <w:color w:val="auto"/>
        </w:rPr>
        <w:t>Net income allocated to common shareholders</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-107950</wp:posOffset>
            </wp:positionV>
            <wp:extent cx="6036945" cy="1143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6036945" cy="11430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4"/>
          <w:szCs w:val="14"/>
          <w:color w:val="auto"/>
        </w:rPr>
        <w:t>Incremental shares from assumed exercise of 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8890</wp:posOffset>
            </wp:positionV>
            <wp:extent cx="6036945" cy="1143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6036945" cy="11430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6"/>
          <w:szCs w:val="16"/>
          <w:color w:val="auto"/>
        </w:rPr>
        <w:t>Diluted weighted average shares outstanding</w:t>
      </w:r>
    </w:p>
    <w:p>
      <w:pPr>
        <w:ind w:left="720"/>
        <w:spacing w:after="0"/>
        <w:rPr>
          <w:sz w:val="20"/>
          <w:szCs w:val="20"/>
          <w:color w:val="auto"/>
        </w:rPr>
      </w:pPr>
      <w:r>
        <w:rPr>
          <w:rFonts w:ascii="Times New Roman" w:cs="Times New Roman" w:eastAsia="Times New Roman" w:hAnsi="Times New Roman"/>
          <w:sz w:val="16"/>
          <w:szCs w:val="16"/>
          <w:color w:val="auto"/>
        </w:rPr>
        <w:t>Diluted earnings per common share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STOCK-BASED COMPENSATION PLANS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88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center"/>
              <w:ind w:right="16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2800" w:type="dxa"/>
            <w:vAlign w:val="bottom"/>
            <w:gridSpan w:val="7"/>
          </w:tcPr>
          <w:p>
            <w:pPr>
              <w:jc w:val="center"/>
              <w:ind w:left="404"/>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200,716</w:t>
            </w:r>
          </w:p>
        </w:tc>
        <w:tc>
          <w:tcPr>
            <w:tcW w:w="4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221,435</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235,425</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9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1,445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1,546</w:t>
            </w:r>
          </w:p>
        </w:tc>
        <w:tc>
          <w:tcPr>
            <w:tcW w:w="380" w:type="dxa"/>
            <w:vAlign w:val="bottom"/>
          </w:tcPr>
          <w:p>
            <w:pPr>
              <w:spacing w:after="0"/>
              <w:rPr>
                <w:sz w:val="15"/>
                <w:szCs w:val="15"/>
                <w:color w:val="auto"/>
              </w:rPr>
            </w:pPr>
          </w:p>
        </w:tc>
        <w:tc>
          <w:tcPr>
            <w:tcW w:w="7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1,508</w:t>
            </w:r>
          </w:p>
        </w:tc>
        <w:tc>
          <w:tcPr>
            <w:tcW w:w="0" w:type="dxa"/>
            <w:vAlign w:val="bottom"/>
          </w:tcPr>
          <w:p>
            <w:pPr>
              <w:spacing w:after="0"/>
              <w:rPr>
                <w:sz w:val="1"/>
                <w:szCs w:val="1"/>
                <w:color w:val="auto"/>
              </w:rPr>
            </w:pPr>
          </w:p>
        </w:tc>
      </w:tr>
      <w:tr>
        <w:trPr>
          <w:trHeight w:val="193"/>
        </w:trPr>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199,271</w:t>
            </w:r>
          </w:p>
        </w:tc>
        <w:tc>
          <w:tcPr>
            <w:tcW w:w="4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219,889</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233,917</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138,415</w:t>
            </w:r>
          </w:p>
        </w:tc>
        <w:tc>
          <w:tcPr>
            <w:tcW w:w="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138,333</w:t>
            </w:r>
          </w:p>
        </w:tc>
        <w:tc>
          <w:tcPr>
            <w:tcW w:w="2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139,652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199,271</w:t>
            </w:r>
          </w:p>
        </w:tc>
        <w:tc>
          <w:tcPr>
            <w:tcW w:w="4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219,889</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233,917</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6"/>
                <w:szCs w:val="16"/>
                <w:color w:val="auto"/>
              </w:rPr>
              <w:t>138,415</w:t>
            </w:r>
          </w:p>
        </w:tc>
        <w:tc>
          <w:tcPr>
            <w:tcW w:w="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6"/>
                <w:szCs w:val="16"/>
                <w:color w:val="auto"/>
              </w:rPr>
              <w:t>138,333</w:t>
            </w:r>
          </w:p>
        </w:tc>
        <w:tc>
          <w:tcPr>
            <w:tcW w:w="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6"/>
                <w:szCs w:val="16"/>
                <w:color w:val="auto"/>
              </w:rPr>
              <w:t>139,652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9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138,579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138,462</w:t>
            </w:r>
          </w:p>
        </w:tc>
        <w:tc>
          <w:tcPr>
            <w:tcW w:w="380" w:type="dxa"/>
            <w:vAlign w:val="bottom"/>
          </w:tcPr>
          <w:p>
            <w:pPr>
              <w:spacing w:after="0"/>
              <w:rPr>
                <w:sz w:val="15"/>
                <w:szCs w:val="15"/>
                <w:color w:val="auto"/>
              </w:rPr>
            </w:pPr>
          </w:p>
        </w:tc>
        <w:tc>
          <w:tcPr>
            <w:tcW w:w="7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140,012</w:t>
            </w:r>
          </w:p>
        </w:tc>
        <w:tc>
          <w:tcPr>
            <w:tcW w:w="0" w:type="dxa"/>
            <w:vAlign w:val="bottom"/>
          </w:tcPr>
          <w:p>
            <w:pPr>
              <w:spacing w:after="0"/>
              <w:rPr>
                <w:sz w:val="1"/>
                <w:szCs w:val="1"/>
                <w:color w:val="auto"/>
              </w:rPr>
            </w:pPr>
          </w:p>
        </w:tc>
      </w:tr>
      <w:tr>
        <w:trPr>
          <w:trHeight w:val="193"/>
        </w:trPr>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 w:type="dxa"/>
            <w:vAlign w:val="bottom"/>
          </w:tcPr>
          <w:p>
            <w:pPr>
              <w:spacing w:after="0"/>
              <w:rPr>
                <w:sz w:val="16"/>
                <w:szCs w:val="16"/>
                <w:color w:val="auto"/>
              </w:rPr>
            </w:pPr>
          </w:p>
        </w:tc>
        <w:tc>
          <w:tcPr>
            <w:tcW w:w="4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20" w:type="dxa"/>
            <w:vAlign w:val="bottom"/>
          </w:tcPr>
          <w:p>
            <w:pPr>
              <w:spacing w:after="0"/>
              <w:rPr>
                <w:sz w:val="16"/>
                <w:szCs w:val="16"/>
                <w:color w:val="auto"/>
              </w:rPr>
            </w:pP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3" w:lineRule="exact"/>
        <w:rPr>
          <w:sz w:val="20"/>
          <w:szCs w:val="20"/>
          <w:color w:val="auto"/>
        </w:rPr>
      </w:pPr>
    </w:p>
    <w:p>
      <w:pPr>
        <w:sectPr>
          <w:pgSz w:w="11900" w:h="16840" w:orient="portrait"/>
          <w:cols w:equalWidth="0" w:num="2">
            <w:col w:w="5460" w:space="720"/>
            <w:col w:w="4400"/>
          </w:cols>
          <w:pgMar w:left="640" w:top="1417" w:right="680" w:bottom="1440" w:gutter="0" w:footer="0" w:header="0"/>
          <w:type w:val="continuous"/>
        </w:sectPr>
      </w:pPr>
    </w:p>
    <w:p>
      <w:pPr>
        <w:ind w:left="20" w:right="80" w:firstLine="588"/>
        <w:spacing w:after="0" w:line="239" w:lineRule="auto"/>
        <w:rPr>
          <w:sz w:val="20"/>
          <w:szCs w:val="20"/>
          <w:color w:val="auto"/>
        </w:rPr>
      </w:pPr>
      <w:r>
        <w:rPr>
          <w:rFonts w:ascii="Times New Roman" w:cs="Times New Roman" w:eastAsia="Times New Roman" w:hAnsi="Times New Roman"/>
          <w:sz w:val="16"/>
          <w:szCs w:val="16"/>
          <w:color w:val="auto"/>
        </w:rPr>
        <w:t>In May 2018, the shareholders approved the 2018 Equity Plan which authorizes the issuance of up to 9,000,000 shares of CVB’s common stock for eligible participants, which include all of the Company’s employees, officers, and directors, and expires in 2028. The plan authorizes the issuance of a variety of types of equity awards, which include incentive stock options, non-qualified stock options, restricted stock awards (“RSAs”), restricted stock units (“RSUs”), and other stock-based awards, including performance-based restricted stock units ("PRSUs"). The 2018 Equity Plan replaced the 2008 Equity Incentive Plan. No further grants will be made under the 2008 Equity Incentive Plan, but shares may continue to be issued under such plan pursuant to grants previously made. As of December 31, 2024, we have 1,655,383 outstanding options, unvested RSAs, RSUs and PRSUs under our Equity Plans.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Company expensed $477,000, $384,000, and $273,000, for the years ended December 31, 2024, 2023 and 2022, respectively.</w:t>
      </w:r>
    </w:p>
    <w:p>
      <w:pPr>
        <w:spacing w:after="0" w:line="152" w:lineRule="exact"/>
        <w:rPr>
          <w:sz w:val="20"/>
          <w:szCs w:val="20"/>
          <w:color w:val="auto"/>
        </w:rPr>
      </w:pPr>
    </w:p>
    <w:p>
      <w:pPr>
        <w:ind w:left="20" w:right="80" w:firstLine="588"/>
        <w:spacing w:after="0" w:line="259" w:lineRule="auto"/>
        <w:rPr>
          <w:sz w:val="20"/>
          <w:szCs w:val="20"/>
          <w:color w:val="auto"/>
        </w:rPr>
      </w:pPr>
      <w:r>
        <w:rPr>
          <w:rFonts w:ascii="Times New Roman" w:cs="Times New Roman" w:eastAsia="Times New Roman" w:hAnsi="Times New Roman"/>
          <w:sz w:val="16"/>
          <w:szCs w:val="16"/>
          <w:color w:val="auto"/>
        </w:rPr>
        <w:t>The estimated fair value of the options granted during 2024 and prior years was calculated using the Black-Scholes options pricing model. There were 95,000, 107,000 and 66,000 options granted during 2024, 2023 and 2022, respectively.</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17" w:right="680" w:bottom="1440" w:gutter="0" w:footer="0" w:header="0"/>
          <w:type w:val="continuous"/>
        </w:sectPr>
      </w:pPr>
    </w:p>
    <w:bookmarkStart w:id="125" w:name="page126"/>
    <w:bookmarkEnd w:id="125"/>
    <w:p>
      <w:pPr>
        <w:spacing w:after="0" w:line="137"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The options will vest, in equal installments, over a five-year period. The fair value of each stock option granted in 2024, 2023 and 2022, was estimated on the date of grant using the following weighted-average assumptions.</w:t>
      </w:r>
    </w:p>
    <w:p>
      <w:pPr>
        <w:spacing w:after="0" w:line="161"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760" w:type="dxa"/>
            <w:vAlign w:val="bottom"/>
            <w:gridSpan w:val="4"/>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Pr>
          <w:p>
            <w:pPr>
              <w:spacing w:after="0"/>
              <w:rPr>
                <w:sz w:val="16"/>
                <w:szCs w:val="16"/>
                <w:color w:val="auto"/>
              </w:rPr>
            </w:pPr>
          </w:p>
        </w:tc>
      </w:tr>
      <w:tr>
        <w:trPr>
          <w:trHeight w:val="195"/>
        </w:trPr>
        <w:tc>
          <w:tcPr>
            <w:tcW w:w="3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80" w:type="dxa"/>
            <w:vAlign w:val="bottom"/>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6"/>
                <w:szCs w:val="16"/>
                <w:color w:val="auto"/>
              </w:rPr>
            </w:pPr>
          </w:p>
        </w:tc>
        <w:tc>
          <w:tcPr>
            <w:tcW w:w="1080" w:type="dxa"/>
            <w:vAlign w:val="bottom"/>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6"/>
                <w:szCs w:val="16"/>
                <w:color w:val="auto"/>
              </w:rPr>
            </w:pPr>
          </w:p>
        </w:tc>
        <w:tc>
          <w:tcPr>
            <w:tcW w:w="100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0"/>
        </w:trPr>
        <w:tc>
          <w:tcPr>
            <w:tcW w:w="3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Dividend yield</w:t>
            </w:r>
          </w:p>
        </w:tc>
        <w:tc>
          <w:tcPr>
            <w:tcW w:w="17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3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Volatility</w:t>
            </w:r>
          </w:p>
        </w:tc>
        <w:tc>
          <w:tcPr>
            <w:tcW w:w="1780" w:type="dxa"/>
            <w:vAlign w:val="bottom"/>
          </w:tcPr>
          <w:p>
            <w:pPr>
              <w:spacing w:after="0"/>
              <w:rPr>
                <w:sz w:val="15"/>
                <w:szCs w:val="15"/>
                <w:color w:val="auto"/>
              </w:rPr>
            </w:pPr>
          </w:p>
        </w:tc>
        <w:tc>
          <w:tcPr>
            <w:tcW w:w="10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31.1%</w:t>
            </w:r>
          </w:p>
        </w:tc>
        <w:tc>
          <w:tcPr>
            <w:tcW w:w="300" w:type="dxa"/>
            <w:vAlign w:val="bottom"/>
          </w:tcPr>
          <w:p>
            <w:pPr>
              <w:spacing w:after="0"/>
              <w:rPr>
                <w:sz w:val="15"/>
                <w:szCs w:val="15"/>
                <w:color w:val="auto"/>
              </w:rPr>
            </w:pPr>
          </w:p>
        </w:tc>
        <w:tc>
          <w:tcPr>
            <w:tcW w:w="10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28.0%</w:t>
            </w:r>
          </w:p>
        </w:tc>
        <w:tc>
          <w:tcPr>
            <w:tcW w:w="3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27.9%</w:t>
            </w:r>
          </w:p>
        </w:tc>
      </w:tr>
      <w:tr>
        <w:trPr>
          <w:trHeight w:val="180"/>
        </w:trPr>
        <w:tc>
          <w:tcPr>
            <w:tcW w:w="3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Risk-free interest rate</w:t>
            </w:r>
          </w:p>
        </w:tc>
        <w:tc>
          <w:tcPr>
            <w:tcW w:w="17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3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Expected life</w:t>
            </w:r>
          </w:p>
        </w:tc>
        <w:tc>
          <w:tcPr>
            <w:tcW w:w="1780" w:type="dxa"/>
            <w:vAlign w:val="bottom"/>
          </w:tcPr>
          <w:p>
            <w:pPr>
              <w:spacing w:after="0"/>
              <w:rPr>
                <w:sz w:val="15"/>
                <w:szCs w:val="15"/>
                <w:color w:val="auto"/>
              </w:rPr>
            </w:pP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10.0 years</w:t>
            </w:r>
          </w:p>
        </w:tc>
        <w:tc>
          <w:tcPr>
            <w:tcW w:w="300" w:type="dxa"/>
            <w:vAlign w:val="bottom"/>
          </w:tcPr>
          <w:p>
            <w:pPr>
              <w:spacing w:after="0"/>
              <w:rPr>
                <w:sz w:val="15"/>
                <w:szCs w:val="15"/>
                <w:color w:val="auto"/>
              </w:rPr>
            </w:pP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10.0 years</w:t>
            </w:r>
          </w:p>
        </w:tc>
        <w:tc>
          <w:tcPr>
            <w:tcW w:w="30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10.0 years</w:t>
            </w:r>
          </w:p>
        </w:tc>
      </w:tr>
      <w:tr>
        <w:trPr>
          <w:trHeight w:val="180"/>
        </w:trPr>
        <w:tc>
          <w:tcPr>
            <w:tcW w:w="3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Weighted average grant date fair value</w:t>
            </w:r>
          </w:p>
        </w:tc>
        <w:tc>
          <w:tcPr>
            <w:tcW w:w="17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8.70</w:t>
            </w:r>
          </w:p>
        </w:tc>
        <w:tc>
          <w:tcPr>
            <w:tcW w:w="3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11.09</w:t>
            </w:r>
          </w:p>
        </w:tc>
        <w:tc>
          <w:tcPr>
            <w:tcW w:w="3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8.60</w:t>
            </w:r>
          </w:p>
        </w:tc>
      </w:tr>
    </w:tbl>
    <w:p>
      <w:pPr>
        <w:spacing w:after="0" w:line="167" w:lineRule="exact"/>
        <w:rPr>
          <w:sz w:val="20"/>
          <w:szCs w:val="20"/>
          <w:color w:val="auto"/>
        </w:rPr>
      </w:pPr>
    </w:p>
    <w:p>
      <w:pPr>
        <w:ind w:right="120" w:firstLine="588"/>
        <w:spacing w:after="0" w:line="243" w:lineRule="auto"/>
        <w:rPr>
          <w:sz w:val="20"/>
          <w:szCs w:val="20"/>
          <w:color w:val="auto"/>
        </w:rPr>
      </w:pPr>
      <w:r>
        <w:rPr>
          <w:rFonts w:ascii="Times New Roman" w:cs="Times New Roman" w:eastAsia="Times New Roman" w:hAnsi="Times New Roman"/>
          <w:sz w:val="16"/>
          <w:szCs w:val="16"/>
          <w:color w:val="auto"/>
        </w:rPr>
        <w:t>The expected volatility is solely based on the daily historical stock price volatility over the expected option life. The expected life of options granted is derived from the output of the option valuation model and represents the period of time an optionee will hold an option before exercising it. The risk-free rate for periods within the contractual life of the option is based on the U.S. Treasury five-year constant maturity yield curve in effect at the time of the grant. The Company accounts for forfeitures as they occur, rather than to estimate forfeitures over the vesting period.</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presents option activity under the Company’s stock option plans as of and for the year ended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0"/>
        </w:trPr>
        <w:tc>
          <w:tcPr>
            <w:tcW w:w="5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3"/>
              <w:spacing w:after="0" w:line="180"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5220" w:type="dxa"/>
            <w:vAlign w:val="bottom"/>
          </w:tcPr>
          <w:p>
            <w:pPr>
              <w:spacing w:after="0"/>
              <w:rPr>
                <w:sz w:val="15"/>
                <w:szCs w:val="15"/>
                <w:color w:val="auto"/>
              </w:rPr>
            </w:pPr>
          </w:p>
        </w:tc>
        <w:tc>
          <w:tcPr>
            <w:tcW w:w="148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160" w:type="dxa"/>
            <w:vAlign w:val="bottom"/>
          </w:tcPr>
          <w:p>
            <w:pPr>
              <w:spacing w:after="0"/>
              <w:rPr>
                <w:sz w:val="15"/>
                <w:szCs w:val="15"/>
                <w:color w:val="auto"/>
              </w:rPr>
            </w:pPr>
          </w:p>
        </w:tc>
        <w:tc>
          <w:tcPr>
            <w:tcW w:w="114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300" w:type="dxa"/>
            <w:vAlign w:val="bottom"/>
          </w:tcPr>
          <w:p>
            <w:pPr>
              <w:jc w:val="center"/>
              <w:ind w:right="23"/>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5220" w:type="dxa"/>
            <w:vAlign w:val="bottom"/>
          </w:tcPr>
          <w:p>
            <w:pPr>
              <w:spacing w:after="0"/>
              <w:rPr>
                <w:sz w:val="15"/>
                <w:szCs w:val="15"/>
                <w:color w:val="auto"/>
              </w:rPr>
            </w:pPr>
          </w:p>
        </w:tc>
        <w:tc>
          <w:tcPr>
            <w:tcW w:w="148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Stock Options</w:t>
            </w:r>
          </w:p>
        </w:tc>
        <w:tc>
          <w:tcPr>
            <w:tcW w:w="160" w:type="dxa"/>
            <w:vAlign w:val="bottom"/>
          </w:tcPr>
          <w:p>
            <w:pPr>
              <w:spacing w:after="0"/>
              <w:rPr>
                <w:sz w:val="15"/>
                <w:szCs w:val="15"/>
                <w:color w:val="auto"/>
              </w:rPr>
            </w:pPr>
          </w:p>
        </w:tc>
        <w:tc>
          <w:tcPr>
            <w:tcW w:w="114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tcPr>
          <w:p>
            <w:pPr>
              <w:jc w:val="center"/>
              <w:ind w:right="23"/>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200" w:type="dxa"/>
            <w:vAlign w:val="bottom"/>
          </w:tcPr>
          <w:p>
            <w:pPr>
              <w:spacing w:after="0"/>
              <w:rPr>
                <w:sz w:val="15"/>
                <w:szCs w:val="15"/>
                <w:color w:val="auto"/>
              </w:rPr>
            </w:pPr>
          </w:p>
        </w:tc>
        <w:tc>
          <w:tcPr>
            <w:tcW w:w="1060" w:type="dxa"/>
            <w:vAlign w:val="bottom"/>
          </w:tcPr>
          <w:p>
            <w:pPr>
              <w:jc w:val="center"/>
              <w:ind w:right="103"/>
              <w:spacing w:after="0" w:line="180" w:lineRule="exact"/>
              <w:rPr>
                <w:sz w:val="20"/>
                <w:szCs w:val="20"/>
                <w:color w:val="auto"/>
              </w:rPr>
            </w:pPr>
            <w:r>
              <w:rPr>
                <w:rFonts w:ascii="Times New Roman" w:cs="Times New Roman" w:eastAsia="Times New Roman" w:hAnsi="Times New Roman"/>
                <w:sz w:val="16"/>
                <w:szCs w:val="16"/>
                <w:b w:val="1"/>
                <w:bCs w:val="1"/>
                <w:color w:val="auto"/>
                <w:w w:val="96"/>
              </w:rPr>
              <w:t>Aggregate</w:t>
            </w:r>
          </w:p>
        </w:tc>
      </w:tr>
      <w:tr>
        <w:trPr>
          <w:trHeight w:val="181"/>
        </w:trPr>
        <w:tc>
          <w:tcPr>
            <w:tcW w:w="5220" w:type="dxa"/>
            <w:vAlign w:val="bottom"/>
          </w:tcPr>
          <w:p>
            <w:pPr>
              <w:spacing w:after="0"/>
              <w:rPr>
                <w:sz w:val="15"/>
                <w:szCs w:val="15"/>
                <w:color w:val="auto"/>
              </w:rPr>
            </w:pPr>
          </w:p>
        </w:tc>
        <w:tc>
          <w:tcPr>
            <w:tcW w:w="148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6"/>
              </w:rPr>
              <w:t>Outstanding</w:t>
            </w:r>
          </w:p>
        </w:tc>
        <w:tc>
          <w:tcPr>
            <w:tcW w:w="1300" w:type="dxa"/>
            <w:vAlign w:val="bottom"/>
            <w:gridSpan w:val="3"/>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300" w:type="dxa"/>
            <w:vAlign w:val="bottom"/>
          </w:tcPr>
          <w:p>
            <w:pPr>
              <w:jc w:val="center"/>
              <w:ind w:right="3"/>
              <w:spacing w:after="0" w:line="181"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12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Intrinsic Value</w:t>
            </w:r>
          </w:p>
        </w:tc>
      </w:tr>
      <w:tr>
        <w:trPr>
          <w:trHeight w:val="182"/>
        </w:trPr>
        <w:tc>
          <w:tcPr>
            <w:tcW w:w="522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23"/>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200" w:type="dxa"/>
            <w:vAlign w:val="bottom"/>
          </w:tcPr>
          <w:p>
            <w:pPr>
              <w:spacing w:after="0"/>
              <w:rPr>
                <w:sz w:val="15"/>
                <w:szCs w:val="15"/>
                <w:color w:val="auto"/>
              </w:rPr>
            </w:pPr>
          </w:p>
        </w:tc>
        <w:tc>
          <w:tcPr>
            <w:tcW w:w="1060" w:type="dxa"/>
            <w:vAlign w:val="bottom"/>
          </w:tcPr>
          <w:p>
            <w:pPr>
              <w:jc w:val="center"/>
              <w:ind w:right="103"/>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80"/>
        </w:trPr>
        <w:tc>
          <w:tcPr>
            <w:tcW w:w="52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Outstanding at January 1, 2024</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20.50</w:t>
            </w: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80"/>
        </w:trPr>
        <w:tc>
          <w:tcPr>
            <w:tcW w:w="52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17.17</w:t>
            </w: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52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14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17.95</w:t>
            </w: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80"/>
        </w:trPr>
        <w:tc>
          <w:tcPr>
            <w:tcW w:w="52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14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15"/>
                <w:szCs w:val="15"/>
                <w:color w:val="auto"/>
              </w:rPr>
            </w:pPr>
          </w:p>
        </w:tc>
        <w:tc>
          <w:tcPr>
            <w:tcW w:w="11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19.13</w:t>
            </w: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0"/>
        </w:trPr>
        <w:tc>
          <w:tcPr>
            <w:tcW w:w="5220" w:type="dxa"/>
            <w:vAlign w:val="bottom"/>
            <w:tcBorders>
              <w:bottom w:val="single" w:sz="8" w:color="CFF0FC"/>
            </w:tcBorders>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Outstanding at December 31, 2024</w:t>
            </w:r>
          </w:p>
        </w:tc>
        <w:tc>
          <w:tcPr>
            <w:tcW w:w="12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433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20.01</w:t>
            </w:r>
          </w:p>
        </w:tc>
        <w:tc>
          <w:tcPr>
            <w:tcW w:w="2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ind w:right="43"/>
              <w:spacing w:after="0" w:line="160" w:lineRule="exact"/>
              <w:rPr>
                <w:sz w:val="20"/>
                <w:szCs w:val="20"/>
                <w:color w:val="auto"/>
              </w:rPr>
            </w:pPr>
            <w:r>
              <w:rPr>
                <w:rFonts w:ascii="Times New Roman" w:cs="Times New Roman" w:eastAsia="Times New Roman" w:hAnsi="Times New Roman"/>
                <w:sz w:val="16"/>
                <w:szCs w:val="16"/>
                <w:color w:val="auto"/>
              </w:rPr>
              <w:t>6.61</w:t>
            </w:r>
          </w:p>
        </w:tc>
        <w:tc>
          <w:tcPr>
            <w:tcW w:w="200" w:type="dxa"/>
            <w:vAlign w:val="bottom"/>
            <w:tcBorders>
              <w:bottom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FF0FC"/>
            </w:tcBorders>
            <w:shd w:val="clear" w:color="auto" w:fill="CFF0FC"/>
          </w:tcPr>
          <w:p>
            <w:pPr>
              <w:jc w:val="right"/>
              <w:ind w:right="23"/>
              <w:spacing w:after="0" w:line="160" w:lineRule="exact"/>
              <w:rPr>
                <w:sz w:val="20"/>
                <w:szCs w:val="20"/>
                <w:color w:val="auto"/>
              </w:rPr>
            </w:pPr>
            <w:r>
              <w:rPr>
                <w:rFonts w:ascii="Times New Roman" w:cs="Times New Roman" w:eastAsia="Times New Roman" w:hAnsi="Times New Roman"/>
                <w:sz w:val="16"/>
                <w:szCs w:val="16"/>
                <w:color w:val="auto"/>
              </w:rPr>
              <w:t>967</w:t>
            </w:r>
          </w:p>
        </w:tc>
      </w:tr>
      <w:tr>
        <w:trPr>
          <w:trHeight w:val="156"/>
        </w:trPr>
        <w:tc>
          <w:tcPr>
            <w:tcW w:w="522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Vested or expected to vest at December 31, 2024</w:t>
            </w:r>
          </w:p>
        </w:tc>
        <w:tc>
          <w:tcPr>
            <w:tcW w:w="12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433</w:t>
            </w:r>
          </w:p>
        </w:tc>
        <w:tc>
          <w:tcPr>
            <w:tcW w:w="220" w:type="dxa"/>
            <w:vAlign w:val="bottom"/>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6"/>
                <w:szCs w:val="16"/>
                <w:color w:val="auto"/>
              </w:rPr>
              <w:t>20.01</w:t>
            </w:r>
          </w:p>
        </w:tc>
        <w:tc>
          <w:tcPr>
            <w:tcW w:w="1300" w:type="dxa"/>
            <w:vAlign w:val="bottom"/>
          </w:tcPr>
          <w:p>
            <w:pPr>
              <w:jc w:val="right"/>
              <w:ind w:right="43"/>
              <w:spacing w:after="0" w:line="156" w:lineRule="exact"/>
              <w:rPr>
                <w:sz w:val="20"/>
                <w:szCs w:val="20"/>
                <w:color w:val="auto"/>
              </w:rPr>
            </w:pPr>
            <w:r>
              <w:rPr>
                <w:rFonts w:ascii="Times New Roman" w:cs="Times New Roman" w:eastAsia="Times New Roman" w:hAnsi="Times New Roman"/>
                <w:sz w:val="16"/>
                <w:szCs w:val="16"/>
                <w:color w:val="auto"/>
              </w:rPr>
              <w:t>6.61</w:t>
            </w:r>
          </w:p>
        </w:tc>
        <w:tc>
          <w:tcPr>
            <w:tcW w:w="2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967</w:t>
            </w:r>
          </w:p>
        </w:tc>
      </w:tr>
      <w:tr>
        <w:trPr>
          <w:trHeight w:val="180"/>
        </w:trPr>
        <w:tc>
          <w:tcPr>
            <w:tcW w:w="52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Exercisable at December 31, 2024</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19.52</w:t>
            </w:r>
          </w:p>
        </w:tc>
        <w:tc>
          <w:tcPr>
            <w:tcW w:w="13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4.92</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512</w:t>
            </w:r>
          </w:p>
        </w:tc>
      </w:tr>
    </w:tbl>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total intrinsic value of options exercised during the years ended December 31, 2024, 2023 and 2022 was $131,000, $53,000 and $1.0 million, respectively.</w:t>
      </w:r>
    </w:p>
    <w:p>
      <w:pPr>
        <w:spacing w:after="0" w:line="175" w:lineRule="exact"/>
        <w:rPr>
          <w:sz w:val="20"/>
          <w:szCs w:val="20"/>
          <w:color w:val="auto"/>
        </w:rPr>
      </w:pPr>
    </w:p>
    <w:p>
      <w:pPr>
        <w:jc w:val="both"/>
        <w:ind w:firstLine="588"/>
        <w:spacing w:after="0" w:line="299" w:lineRule="auto"/>
        <w:rPr>
          <w:sz w:val="20"/>
          <w:szCs w:val="20"/>
          <w:color w:val="auto"/>
        </w:rPr>
      </w:pPr>
      <w:r>
        <w:rPr>
          <w:rFonts w:ascii="Times New Roman" w:cs="Times New Roman" w:eastAsia="Times New Roman" w:hAnsi="Times New Roman"/>
          <w:sz w:val="14"/>
          <w:szCs w:val="14"/>
          <w:color w:val="auto"/>
        </w:rPr>
        <w:t>As of December 31, 2024, there was a total of $1.6 million in unrecognized compensation cost related to nonvested options granted under the Plan. That cost is expected to be recognized over a weighted-average period of approximately 3.4 years. The total fair value of options vested was $ 361,000, $267,000 and $203,000 during 2024, 2023 and 2022, respectively. Cash received from stock option exercises was $565,000, $210,000 and $1.9 million, in 2024, 2023 and 2022, respectively.</w:t>
      </w:r>
    </w:p>
    <w:p>
      <w:pPr>
        <w:spacing w:after="0" w:line="95" w:lineRule="exact"/>
        <w:rPr>
          <w:sz w:val="20"/>
          <w:szCs w:val="20"/>
          <w:color w:val="auto"/>
        </w:rPr>
      </w:pPr>
    </w:p>
    <w:p>
      <w:pPr>
        <w:ind w:right="500" w:firstLine="588"/>
        <w:spacing w:after="0" w:line="259" w:lineRule="auto"/>
        <w:rPr>
          <w:sz w:val="20"/>
          <w:szCs w:val="20"/>
          <w:color w:val="auto"/>
        </w:rPr>
      </w:pPr>
      <w:r>
        <w:rPr>
          <w:rFonts w:ascii="Times New Roman" w:cs="Times New Roman" w:eastAsia="Times New Roman" w:hAnsi="Times New Roman"/>
          <w:sz w:val="16"/>
          <w:szCs w:val="16"/>
          <w:color w:val="auto"/>
        </w:rPr>
        <w:t>At December 31, 2024, options for the purchase of 433,350 shares of CVB’s common stock were outstanding under the above plans, of which options to purchase 208,450 shares were exercisable at prices ranging from $14.61 to $24.83.</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Company has a policy of issuing new shares to satisfy share option exercises.</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26" w:name="page127"/>
    <w:bookmarkEnd w:id="126"/>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Awards, Restricted Stock Units and Performance-Based Restricted Stock Units</w:t>
      </w:r>
    </w:p>
    <w:p>
      <w:pPr>
        <w:spacing w:after="0" w:line="156"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The Company granted 524,000, 484,000 and 674,961 restricted stock awards during 2024, 2023 and 2022 respectively. The weighted average grant date fair value of RSAs, RSUs and PRSUs granted in 2024, 2023 and 2022 was $17.91 per share, $22.44 per share and $22.82 per share, respectively. These awards will vest, in equal installments, over a period of approximately one to five years.</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Compensation cost is recognized over the requisite service period, which is approximately one to five years, and amounted to $9.8 million, $9.1 million and</w:t>
      </w:r>
    </w:p>
    <w:p>
      <w:pPr>
        <w:spacing w:after="0" w:line="37"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6"/>
          <w:szCs w:val="16"/>
          <w:color w:val="auto"/>
        </w:rPr>
        <w:t>$7.6 million during the years ended December 31, 2024, 2023 and 2022, respectively. Total unrecognized compensation cost related to RSAs and PRSUs was $15.6 million at December 31, 2024.</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table below summarizes activity related to the Company’s non-vested RSAs and PRSUs for the year ended December 31, 2024.</w:t>
      </w:r>
    </w:p>
    <w:p>
      <w:pPr>
        <w:spacing w:after="0" w:line="194"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80"/>
        </w:trPr>
        <w:tc>
          <w:tcPr>
            <w:tcW w:w="5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Average Fair</w:t>
            </w:r>
          </w:p>
        </w:tc>
      </w:tr>
      <w:tr>
        <w:trPr>
          <w:trHeight w:val="181"/>
        </w:trPr>
        <w:tc>
          <w:tcPr>
            <w:tcW w:w="5640" w:type="dxa"/>
            <w:vAlign w:val="bottom"/>
          </w:tcPr>
          <w:p>
            <w:pPr>
              <w:spacing w:after="0"/>
              <w:rPr>
                <w:sz w:val="15"/>
                <w:szCs w:val="15"/>
                <w:color w:val="auto"/>
              </w:rPr>
            </w:pPr>
          </w:p>
        </w:tc>
        <w:tc>
          <w:tcPr>
            <w:tcW w:w="1560" w:type="dxa"/>
            <w:vAlign w:val="bottom"/>
            <w:gridSpan w:val="2"/>
          </w:tcPr>
          <w:p>
            <w:pPr>
              <w:jc w:val="right"/>
              <w:ind w:right="740"/>
              <w:spacing w:after="0" w:line="181" w:lineRule="exact"/>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5"/>
                <w:szCs w:val="15"/>
                <w:color w:val="auto"/>
              </w:rPr>
            </w:pPr>
          </w:p>
        </w:tc>
        <w:tc>
          <w:tcPr>
            <w:tcW w:w="114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182"/>
        </w:trPr>
        <w:tc>
          <w:tcPr>
            <w:tcW w:w="5640" w:type="dxa"/>
            <w:vAlign w:val="bottom"/>
          </w:tcPr>
          <w:p>
            <w:pPr>
              <w:spacing w:after="0"/>
              <w:rPr>
                <w:sz w:val="15"/>
                <w:szCs w:val="15"/>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6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Nonvested at January 1, 2024</w:t>
            </w:r>
          </w:p>
        </w:tc>
        <w:tc>
          <w:tcPr>
            <w:tcW w:w="1560" w:type="dxa"/>
            <w:vAlign w:val="bottom"/>
            <w:gridSpan w:val="2"/>
            <w:shd w:val="clear" w:color="auto" w:fill="CFF0FC"/>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1,157</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21.93</w:t>
            </w:r>
          </w:p>
        </w:tc>
      </w:tr>
      <w:tr>
        <w:trPr>
          <w:trHeight w:val="180"/>
        </w:trPr>
        <w:tc>
          <w:tcPr>
            <w:tcW w:w="56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524</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17.91</w:t>
            </w:r>
          </w:p>
        </w:tc>
      </w:tr>
      <w:tr>
        <w:trPr>
          <w:trHeight w:val="180"/>
        </w:trPr>
        <w:tc>
          <w:tcPr>
            <w:tcW w:w="56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56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19.71</w:t>
            </w:r>
          </w:p>
        </w:tc>
      </w:tr>
      <w:tr>
        <w:trPr>
          <w:trHeight w:val="180"/>
        </w:trPr>
        <w:tc>
          <w:tcPr>
            <w:tcW w:w="56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Forfeited</w:t>
            </w:r>
          </w:p>
        </w:tc>
        <w:tc>
          <w:tcPr>
            <w:tcW w:w="156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5"/>
                <w:szCs w:val="15"/>
                <w:color w:val="auto"/>
              </w:rPr>
            </w:pP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22.23</w:t>
            </w:r>
          </w:p>
        </w:tc>
      </w:tr>
      <w:tr>
        <w:trPr>
          <w:trHeight w:val="200"/>
        </w:trPr>
        <w:tc>
          <w:tcPr>
            <w:tcW w:w="56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Nonvested at December 31, 2024</w:t>
            </w:r>
          </w:p>
        </w:tc>
        <w:tc>
          <w:tcPr>
            <w:tcW w:w="15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1,219 (1)</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20.73</w:t>
            </w: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5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(1)  Includes 213,181 PRSUs. There are no restricted stock units outstanding.</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Under the 2018 Equity Incentive Plan, 5,372,300 shares of common stock were available for the granting of future stock-based awards as of December 31,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w:t>
      </w: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127" w:name="page128"/>
    <w:bookmarkEnd w:id="127"/>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REGULATORY MATTERS</w:t>
      </w:r>
    </w:p>
    <w:p>
      <w:pPr>
        <w:spacing w:after="0" w:line="154" w:lineRule="exact"/>
        <w:rPr>
          <w:sz w:val="20"/>
          <w:szCs w:val="20"/>
          <w:color w:val="auto"/>
        </w:rPr>
      </w:pPr>
    </w:p>
    <w:p>
      <w:pPr>
        <w:ind w:left="20" w:right="100" w:firstLine="588"/>
        <w:spacing w:after="0" w:line="239" w:lineRule="auto"/>
        <w:rPr>
          <w:sz w:val="20"/>
          <w:szCs w:val="20"/>
          <w:color w:val="auto"/>
        </w:rPr>
      </w:pPr>
      <w:r>
        <w:rPr>
          <w:rFonts w:ascii="Times New Roman" w:cs="Times New Roman" w:eastAsia="Times New Roman" w:hAnsi="Times New Roman"/>
          <w:sz w:val="16"/>
          <w:szCs w:val="16"/>
          <w:color w:val="auto"/>
        </w:rPr>
        <w:t>The Company (on a consolidated basis) and the Bank are subject to various regulatory capital requirements administered by the federal banking regulatory agencies. Failure to meet minimum capital requirements can initiate certain mandatory, and possibly additional discretionary, actions by regulators that, if undertaken, could have a direct, material effect on the Company’s and the Bank’s financial statements. Under capital adequacy guidelines and the regulatory framework for prompt corrective action, the Company and Bank must meet specific capital guidelines that involve quantitative measures of assets, liabilities, and certain off-balance-sheet items as calculated under regulatory accounting practices. The capital amounts and classification are also subject to qualitative judgment by the regulators about components, risk-weightings, and other factors. Prompt corrective action provisions are not applicable to bank holding companies.</w:t>
      </w:r>
    </w:p>
    <w:p>
      <w:pPr>
        <w:spacing w:after="0" w:line="137" w:lineRule="exact"/>
        <w:rPr>
          <w:sz w:val="20"/>
          <w:szCs w:val="20"/>
          <w:color w:val="auto"/>
        </w:rPr>
      </w:pPr>
    </w:p>
    <w:p>
      <w:pPr>
        <w:ind w:left="20" w:firstLine="588"/>
        <w:spacing w:after="0" w:line="275" w:lineRule="auto"/>
        <w:rPr>
          <w:sz w:val="20"/>
          <w:szCs w:val="20"/>
          <w:color w:val="auto"/>
        </w:rPr>
      </w:pPr>
      <w:r>
        <w:rPr>
          <w:rFonts w:ascii="Times New Roman" w:cs="Times New Roman" w:eastAsia="Times New Roman" w:hAnsi="Times New Roman"/>
          <w:sz w:val="14"/>
          <w:szCs w:val="14"/>
          <w:color w:val="auto"/>
        </w:rPr>
        <w:t>The Bank and the Company are required to meet risk-based capital standards under the revised capital framework referred to as Basel III set by their respective regulatory authorities. The risk-based capital standards require the achievement of a minimum common equity Tier 1 (“CET1”) capital ratio of 4.5%, Tier 1 risk-based capital ratio of 6.0% and total risk-based capital ratio of 8.0%. In addition, the regulatory authorities require the highest rated institutions to maintain a minimum leverage ratio of 4.0%. To be considered “well-capitalized” for bank regulatory purposes, the Bank and the Company are required to have a Tier 1 leverage ratio equal to or greater than 5.0%, a CET1 capital ratio equal to or greater than 6.5%, a Tier 1 risk-based capital ratio equal to or greater than 8.0%, a total risk-based capital ratio equal to or greater than 10.0%. In addition to meeting the minimum capital requirements, under the Basel III Capital Rules, the Company and the Bank must also maintain the required Capital Conservation Buffer to avoid becoming subject to restrictions on capital distributions and certain discretionary bonus payments to management. The Capital Conservation Buffer is calculated as a ratio of CET1 capital to risk-weighted assets, and it effectively increases the required minimum risk-based capital ratios. The Capital Conservation Buffer is now at its fully phased-in level of 2.5% and including the capital conservation buffer results in a minimum required CET1 capital ratio of 7.0%, a Tier 1 risk-based capital ratio of 8.5% and 10.5% for the total risk-based capital ratio.</w:t>
      </w:r>
    </w:p>
    <w:p>
      <w:pPr>
        <w:spacing w:after="0" w:line="296" w:lineRule="exact"/>
        <w:rPr>
          <w:sz w:val="20"/>
          <w:szCs w:val="20"/>
          <w:color w:val="auto"/>
        </w:rPr>
      </w:pPr>
    </w:p>
    <w:p>
      <w:pPr>
        <w:ind w:left="20" w:right="60" w:firstLine="588"/>
        <w:spacing w:after="0" w:line="247" w:lineRule="auto"/>
        <w:rPr>
          <w:sz w:val="20"/>
          <w:szCs w:val="20"/>
          <w:color w:val="auto"/>
        </w:rPr>
      </w:pPr>
      <w:r>
        <w:rPr>
          <w:rFonts w:ascii="Times New Roman" w:cs="Times New Roman" w:eastAsia="Times New Roman" w:hAnsi="Times New Roman"/>
          <w:sz w:val="16"/>
          <w:szCs w:val="16"/>
          <w:color w:val="auto"/>
        </w:rPr>
        <w:t>Quantitative measures established by regulation to ensure capital adequacy require the Company and the Bank to maintain minimum amounts and ratios (set forth in the table below) of total capital, Tier 1 capital and CET1 capital to risk-weighted assets, and of Tier 1 capital to average assets. Management believes that, as of December 31, 2024 and 2023, the Company and the Bank meet all capital adequacy requirements to which they are subject.</w:t>
      </w:r>
    </w:p>
    <w:p>
      <w:pPr>
        <w:spacing w:after="0" w:line="128" w:lineRule="exact"/>
        <w:rPr>
          <w:sz w:val="20"/>
          <w:szCs w:val="20"/>
          <w:color w:val="auto"/>
        </w:rPr>
      </w:pPr>
    </w:p>
    <w:p>
      <w:pPr>
        <w:ind w:left="20" w:right="120" w:firstLine="588"/>
        <w:spacing w:after="0" w:line="243" w:lineRule="auto"/>
        <w:rPr>
          <w:sz w:val="20"/>
          <w:szCs w:val="20"/>
          <w:color w:val="auto"/>
        </w:rPr>
      </w:pPr>
      <w:r>
        <w:rPr>
          <w:rFonts w:ascii="Times New Roman" w:cs="Times New Roman" w:eastAsia="Times New Roman" w:hAnsi="Times New Roman"/>
          <w:sz w:val="16"/>
          <w:szCs w:val="16"/>
          <w:color w:val="auto"/>
        </w:rPr>
        <w:t>As of December 31, 2024 and 2023, the most recent notifications from the FDIC categorized the Bank as well capitalized under the regulatory framework for prompt corrective action. To be categorized as well capitalized, the minimum total risk-based, Tier 1 risk- based, CET1 risk -based, and Tier 1 leverage (tangible Tier 1 capital divided by average total assets) ratios as set forth in the table below must be maintained. There are no conditions or events since said notification that management believes have changed the Bank’s category.</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40" w:top="1440" w:right="700" w:bottom="1440" w:gutter="0" w:footer="0" w:header="0"/>
        </w:sectPr>
      </w:pPr>
    </w:p>
    <w:bookmarkStart w:id="128" w:name="page129"/>
    <w:bookmarkEnd w:id="128"/>
    <w:p>
      <w:pPr>
        <w:ind w:left="600"/>
        <w:spacing w:after="0"/>
        <w:rPr>
          <w:sz w:val="20"/>
          <w:szCs w:val="20"/>
          <w:color w:val="auto"/>
        </w:rPr>
      </w:pPr>
      <w:r>
        <w:rPr>
          <w:rFonts w:ascii="Times New Roman" w:cs="Times New Roman" w:eastAsia="Times New Roman" w:hAnsi="Times New Roman"/>
          <w:sz w:val="16"/>
          <w:szCs w:val="16"/>
          <w:color w:val="auto"/>
        </w:rPr>
        <w:t>The following table summarizes regulatory capital amounts and ratios for the Company and the Bank as of December 31,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left="382"/>
              <w:spacing w:after="0"/>
              <w:rPr>
                <w:sz w:val="20"/>
                <w:szCs w:val="20"/>
                <w:color w:val="auto"/>
              </w:rPr>
            </w:pPr>
            <w:r>
              <w:rPr>
                <w:rFonts w:ascii="Times New Roman" w:cs="Times New Roman" w:eastAsia="Times New Roman" w:hAnsi="Times New Roman"/>
                <w:sz w:val="16"/>
                <w:szCs w:val="16"/>
                <w:b w:val="1"/>
                <w:bCs w:val="1"/>
                <w:color w:val="auto"/>
                <w:w w:val="99"/>
              </w:rPr>
              <w:t>To Be Well</w:t>
            </w:r>
          </w:p>
        </w:tc>
        <w:tc>
          <w:tcPr>
            <w:tcW w:w="760" w:type="dxa"/>
            <w:vAlign w:val="bottom"/>
          </w:tcPr>
          <w:p>
            <w:pPr>
              <w:spacing w:after="0"/>
              <w:rPr>
                <w:sz w:val="16"/>
                <w:szCs w:val="16"/>
                <w:color w:val="auto"/>
              </w:rPr>
            </w:pPr>
          </w:p>
        </w:tc>
      </w:tr>
      <w:tr>
        <w:trPr>
          <w:trHeight w:val="180"/>
        </w:trPr>
        <w:tc>
          <w:tcPr>
            <w:tcW w:w="3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3"/>
          </w:tcPr>
          <w:p>
            <w:pPr>
              <w:jc w:val="center"/>
              <w:ind w:right="2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Capitalized under</w:t>
            </w:r>
          </w:p>
        </w:tc>
      </w:tr>
      <w:tr>
        <w:trPr>
          <w:trHeight w:val="180"/>
        </w:trPr>
        <w:tc>
          <w:tcPr>
            <w:tcW w:w="3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Minimum Required Plus</w:t>
            </w:r>
          </w:p>
        </w:tc>
        <w:tc>
          <w:tcPr>
            <w:tcW w:w="220" w:type="dxa"/>
            <w:vAlign w:val="bottom"/>
          </w:tcPr>
          <w:p>
            <w:pPr>
              <w:spacing w:after="0"/>
              <w:rPr>
                <w:sz w:val="15"/>
                <w:szCs w:val="15"/>
                <w:color w:val="auto"/>
              </w:rPr>
            </w:pPr>
          </w:p>
        </w:tc>
        <w:tc>
          <w:tcPr>
            <w:tcW w:w="2140" w:type="dxa"/>
            <w:vAlign w:val="bottom"/>
            <w:gridSpan w:val="3"/>
          </w:tcPr>
          <w:p>
            <w:pPr>
              <w:jc w:val="center"/>
              <w:ind w:right="242"/>
              <w:spacing w:after="0" w:line="180" w:lineRule="exact"/>
              <w:rPr>
                <w:sz w:val="20"/>
                <w:szCs w:val="20"/>
                <w:color w:val="auto"/>
              </w:rPr>
            </w:pPr>
            <w:r>
              <w:rPr>
                <w:rFonts w:ascii="Times New Roman" w:cs="Times New Roman" w:eastAsia="Times New Roman" w:hAnsi="Times New Roman"/>
                <w:sz w:val="16"/>
                <w:szCs w:val="16"/>
                <w:b w:val="1"/>
                <w:bCs w:val="1"/>
                <w:color w:val="auto"/>
                <w:w w:val="97"/>
              </w:rPr>
              <w:t>Prompt Corrective</w:t>
            </w:r>
          </w:p>
        </w:tc>
      </w:tr>
      <w:tr>
        <w:trPr>
          <w:trHeight w:val="180"/>
        </w:trPr>
        <w:tc>
          <w:tcPr>
            <w:tcW w:w="3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Actual</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3"/>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w w:val="97"/>
              </w:rPr>
              <w:t>Capital Conservation Buffer</w:t>
            </w:r>
          </w:p>
        </w:tc>
        <w:tc>
          <w:tcPr>
            <w:tcW w:w="220" w:type="dxa"/>
            <w:vAlign w:val="bottom"/>
          </w:tcPr>
          <w:p>
            <w:pPr>
              <w:spacing w:after="0"/>
              <w:rPr>
                <w:sz w:val="15"/>
                <w:szCs w:val="15"/>
                <w:color w:val="auto"/>
              </w:rPr>
            </w:pPr>
          </w:p>
        </w:tc>
        <w:tc>
          <w:tcPr>
            <w:tcW w:w="2140" w:type="dxa"/>
            <w:vAlign w:val="bottom"/>
            <w:gridSpan w:val="3"/>
          </w:tcPr>
          <w:p>
            <w:pPr>
              <w:jc w:val="center"/>
              <w:ind w:right="2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Action Provisions</w:t>
            </w:r>
          </w:p>
        </w:tc>
      </w:tr>
      <w:tr>
        <w:trPr>
          <w:trHeight w:val="181"/>
        </w:trPr>
        <w:tc>
          <w:tcPr>
            <w:tcW w:w="3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jc w:val="right"/>
              <w:ind w:right="502"/>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tcPr>
          <w:p>
            <w:pPr>
              <w:jc w:val="right"/>
              <w:ind w:right="342"/>
              <w:spacing w:after="0" w:line="181" w:lineRule="exact"/>
              <w:rPr>
                <w:sz w:val="20"/>
                <w:szCs w:val="20"/>
                <w:color w:val="auto"/>
              </w:rPr>
            </w:pPr>
            <w:r>
              <w:rPr>
                <w:rFonts w:ascii="Times New Roman" w:cs="Times New Roman" w:eastAsia="Times New Roman" w:hAnsi="Times New Roman"/>
                <w:sz w:val="16"/>
                <w:szCs w:val="16"/>
                <w:b w:val="1"/>
                <w:bCs w:val="1"/>
                <w:color w:val="auto"/>
              </w:rPr>
              <w:t>Ratio</w:t>
            </w:r>
          </w:p>
        </w:tc>
        <w:tc>
          <w:tcPr>
            <w:tcW w:w="160" w:type="dxa"/>
            <w:vAlign w:val="bottom"/>
          </w:tcPr>
          <w:p>
            <w:pPr>
              <w:spacing w:after="0"/>
              <w:rPr>
                <w:sz w:val="15"/>
                <w:szCs w:val="15"/>
                <w:color w:val="auto"/>
              </w:rPr>
            </w:pPr>
          </w:p>
        </w:tc>
        <w:tc>
          <w:tcPr>
            <w:tcW w:w="104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15"/>
                <w:szCs w:val="15"/>
                <w:color w:val="auto"/>
              </w:rPr>
            </w:pPr>
          </w:p>
        </w:tc>
        <w:tc>
          <w:tcPr>
            <w:tcW w:w="880" w:type="dxa"/>
            <w:vAlign w:val="bottom"/>
          </w:tcPr>
          <w:p>
            <w:pPr>
              <w:jc w:val="right"/>
              <w:ind w:right="302"/>
              <w:spacing w:after="0" w:line="181" w:lineRule="exact"/>
              <w:rPr>
                <w:sz w:val="20"/>
                <w:szCs w:val="20"/>
                <w:color w:val="auto"/>
              </w:rPr>
            </w:pPr>
            <w:r>
              <w:rPr>
                <w:rFonts w:ascii="Times New Roman" w:cs="Times New Roman" w:eastAsia="Times New Roman" w:hAnsi="Times New Roman"/>
                <w:sz w:val="16"/>
                <w:szCs w:val="16"/>
                <w:b w:val="1"/>
                <w:bCs w:val="1"/>
                <w:color w:val="auto"/>
              </w:rPr>
              <w:t>Ratio</w:t>
            </w:r>
          </w:p>
        </w:tc>
        <w:tc>
          <w:tcPr>
            <w:tcW w:w="220" w:type="dxa"/>
            <w:vAlign w:val="bottom"/>
          </w:tcPr>
          <w:p>
            <w:pPr>
              <w:spacing w:after="0"/>
              <w:rPr>
                <w:sz w:val="15"/>
                <w:szCs w:val="15"/>
                <w:color w:val="auto"/>
              </w:rPr>
            </w:pPr>
          </w:p>
        </w:tc>
        <w:tc>
          <w:tcPr>
            <w:tcW w:w="980" w:type="dxa"/>
            <w:vAlign w:val="bottom"/>
          </w:tcPr>
          <w:p>
            <w:pPr>
              <w:jc w:val="right"/>
              <w:ind w:right="282"/>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400" w:type="dxa"/>
            <w:vAlign w:val="bottom"/>
          </w:tcPr>
          <w:p>
            <w:pPr>
              <w:spacing w:after="0"/>
              <w:rPr>
                <w:sz w:val="15"/>
                <w:szCs w:val="15"/>
                <w:color w:val="auto"/>
              </w:rPr>
            </w:pPr>
          </w:p>
        </w:tc>
        <w:tc>
          <w:tcPr>
            <w:tcW w:w="760" w:type="dxa"/>
            <w:vAlign w:val="bottom"/>
          </w:tcPr>
          <w:p>
            <w:pPr>
              <w:jc w:val="right"/>
              <w:ind w:right="242"/>
              <w:spacing w:after="0" w:line="181" w:lineRule="exact"/>
              <w:rPr>
                <w:sz w:val="20"/>
                <w:szCs w:val="20"/>
                <w:color w:val="auto"/>
              </w:rPr>
            </w:pPr>
            <w:r>
              <w:rPr>
                <w:rFonts w:ascii="Times New Roman" w:cs="Times New Roman" w:eastAsia="Times New Roman" w:hAnsi="Times New Roman"/>
                <w:sz w:val="16"/>
                <w:szCs w:val="16"/>
                <w:b w:val="1"/>
                <w:bCs w:val="1"/>
                <w:color w:val="auto"/>
              </w:rPr>
              <w:t>Ratio</w:t>
            </w:r>
          </w:p>
        </w:tc>
      </w:tr>
      <w:tr>
        <w:trPr>
          <w:trHeight w:val="182"/>
        </w:trPr>
        <w:tc>
          <w:tcPr>
            <w:tcW w:w="3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3"/>
          </w:tcPr>
          <w:p>
            <w:pPr>
              <w:jc w:val="right"/>
              <w:ind w:right="50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As of December 31, 2024:</w:t>
            </w:r>
          </w:p>
        </w:tc>
        <w:tc>
          <w:tcPr>
            <w:tcW w:w="5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180"/>
        </w:trPr>
        <w:tc>
          <w:tcPr>
            <w:tcW w:w="31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Tier 1 Capital (to Average- Assets)</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1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5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1,727,872</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11.46%</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603,247</w:t>
            </w:r>
          </w:p>
        </w:tc>
        <w:tc>
          <w:tcPr>
            <w:tcW w:w="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31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Bank</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1,704,433</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11.30%</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603,506</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754,382</w:t>
            </w:r>
          </w:p>
        </w:tc>
        <w:tc>
          <w:tcPr>
            <w:tcW w:w="4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r>
      <w:tr>
        <w:trPr>
          <w:trHeight w:val="180"/>
        </w:trPr>
        <w:tc>
          <w:tcPr>
            <w:tcW w:w="31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Common equity Tier 1 capital ratio</w:t>
            </w:r>
          </w:p>
        </w:tc>
        <w:tc>
          <w:tcPr>
            <w:tcW w:w="5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180"/>
        </w:trPr>
        <w:tc>
          <w:tcPr>
            <w:tcW w:w="31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1,727,872</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16.24%</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744,579</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7.00%</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31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Bank</w:t>
            </w:r>
          </w:p>
        </w:tc>
        <w:tc>
          <w:tcPr>
            <w:tcW w:w="5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1,704,433</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16.01%</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745,068</w:t>
            </w:r>
          </w:p>
        </w:tc>
        <w:tc>
          <w:tcPr>
            <w:tcW w:w="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7.00%</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691,849</w:t>
            </w:r>
          </w:p>
        </w:tc>
        <w:tc>
          <w:tcPr>
            <w:tcW w:w="4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6.50%</w:t>
            </w:r>
          </w:p>
        </w:tc>
      </w:tr>
      <w:tr>
        <w:trPr>
          <w:trHeight w:val="180"/>
        </w:trPr>
        <w:tc>
          <w:tcPr>
            <w:tcW w:w="31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Tier 1 Capital (to Risk-Weighted Assets)</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1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5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1,727,872</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16.24%</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904,131</w:t>
            </w:r>
          </w:p>
        </w:tc>
        <w:tc>
          <w:tcPr>
            <w:tcW w:w="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8.50%</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31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Bank</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1,704,433</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16.01%</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904,726</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8.50%</w:t>
            </w:r>
          </w:p>
        </w:tc>
        <w:tc>
          <w:tcPr>
            <w:tcW w:w="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851,507</w:t>
            </w:r>
          </w:p>
        </w:tc>
        <w:tc>
          <w:tcPr>
            <w:tcW w:w="4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8.00%</w:t>
            </w:r>
          </w:p>
        </w:tc>
      </w:tr>
      <w:tr>
        <w:trPr>
          <w:trHeight w:val="180"/>
        </w:trPr>
        <w:tc>
          <w:tcPr>
            <w:tcW w:w="31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Capital (to Risk-Weighted Assets)</w:t>
            </w:r>
          </w:p>
        </w:tc>
        <w:tc>
          <w:tcPr>
            <w:tcW w:w="5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180"/>
        </w:trPr>
        <w:tc>
          <w:tcPr>
            <w:tcW w:w="31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1,814,244</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17.06%</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1,116,868</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10.50%</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31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Bank</w:t>
            </w:r>
          </w:p>
        </w:tc>
        <w:tc>
          <w:tcPr>
            <w:tcW w:w="5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1,790,805</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16.82%</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1,117,602</w:t>
            </w:r>
          </w:p>
        </w:tc>
        <w:tc>
          <w:tcPr>
            <w:tcW w:w="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10.50%</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1,064,383</w:t>
            </w:r>
          </w:p>
        </w:tc>
        <w:tc>
          <w:tcPr>
            <w:tcW w:w="4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180"/>
        </w:trPr>
        <w:tc>
          <w:tcPr>
            <w:tcW w:w="31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As of December 31, 2023:</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1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Tier 1 Capital (to Average- Assets)</w:t>
            </w:r>
          </w:p>
        </w:tc>
        <w:tc>
          <w:tcPr>
            <w:tcW w:w="5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180"/>
        </w:trPr>
        <w:tc>
          <w:tcPr>
            <w:tcW w:w="31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1,626,626</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10.27%</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633,372</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276"/>
        </w:trPr>
        <w:tc>
          <w:tcPr>
            <w:tcW w:w="3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Bank</w:t>
            </w:r>
          </w:p>
        </w:tc>
        <w:tc>
          <w:tcPr>
            <w:tcW w:w="5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62"/>
              <w:spacing w:after="0"/>
              <w:rPr>
                <w:sz w:val="20"/>
                <w:szCs w:val="20"/>
                <w:color w:val="auto"/>
              </w:rPr>
            </w:pPr>
            <w:r>
              <w:rPr>
                <w:rFonts w:ascii="Times New Roman" w:cs="Times New Roman" w:eastAsia="Times New Roman" w:hAnsi="Times New Roman"/>
                <w:sz w:val="16"/>
                <w:szCs w:val="16"/>
                <w:color w:val="auto"/>
              </w:rPr>
              <w:t>1,610,514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633,582</w:t>
            </w:r>
          </w:p>
        </w:tc>
        <w:tc>
          <w:tcPr>
            <w:tcW w:w="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&gt;</w:t>
            </w:r>
          </w:p>
        </w:tc>
        <w:tc>
          <w:tcPr>
            <w:tcW w:w="880" w:type="dxa"/>
            <w:vAlign w:val="bottom"/>
            <w:shd w:val="clear" w:color="auto" w:fill="CFF0FC"/>
          </w:tcPr>
          <w:p>
            <w:pPr>
              <w:jc w:val="right"/>
              <w:spacing w:after="0" w:line="275" w:lineRule="exact"/>
              <w:rPr>
                <w:sz w:val="20"/>
                <w:szCs w:val="20"/>
                <w:color w:val="auto"/>
              </w:rPr>
            </w:pPr>
            <w:r>
              <w:rPr>
                <w:rFonts w:ascii="Times New Roman" w:cs="Times New Roman" w:eastAsia="Times New Roman" w:hAnsi="Times New Roman"/>
                <w:sz w:val="16"/>
                <w:szCs w:val="16"/>
                <w:color w:val="auto"/>
              </w:rPr>
              <w:t>4.00</w:t>
            </w:r>
            <w:r>
              <w:rPr>
                <w:rFonts w:ascii="Times New Roman" w:cs="Times New Roman" w:eastAsia="Times New Roman" w:hAnsi="Times New Roman"/>
                <w:sz w:val="31"/>
                <w:szCs w:val="31"/>
                <w:color w:val="auto"/>
                <w:vertAlign w:val="subscript"/>
              </w:rPr>
              <w:t>%</w:t>
            </w:r>
          </w:p>
        </w:tc>
        <w:tc>
          <w:tcPr>
            <w:tcW w:w="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791,978</w:t>
            </w:r>
          </w:p>
        </w:tc>
        <w:tc>
          <w:tcPr>
            <w:tcW w:w="4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&gt;</w:t>
            </w:r>
          </w:p>
        </w:tc>
        <w:tc>
          <w:tcPr>
            <w:tcW w:w="760" w:type="dxa"/>
            <w:vAlign w:val="bottom"/>
            <w:shd w:val="clear" w:color="auto" w:fill="CFF0FC"/>
          </w:tcPr>
          <w:p>
            <w:pPr>
              <w:jc w:val="right"/>
              <w:spacing w:after="0" w:line="275" w:lineRule="exact"/>
              <w:rPr>
                <w:sz w:val="20"/>
                <w:szCs w:val="20"/>
                <w:color w:val="auto"/>
              </w:rPr>
            </w:pPr>
            <w:r>
              <w:rPr>
                <w:rFonts w:ascii="Times New Roman" w:cs="Times New Roman" w:eastAsia="Times New Roman" w:hAnsi="Times New Roman"/>
                <w:sz w:val="16"/>
                <w:szCs w:val="16"/>
                <w:color w:val="auto"/>
              </w:rPr>
              <w:t>5.00</w:t>
            </w:r>
            <w:r>
              <w:rPr>
                <w:rFonts w:ascii="Times New Roman" w:cs="Times New Roman" w:eastAsia="Times New Roman" w:hAnsi="Times New Roman"/>
                <w:sz w:val="31"/>
                <w:szCs w:val="31"/>
                <w:color w:val="auto"/>
                <w:vertAlign w:val="subscript"/>
              </w:rPr>
              <w:t>%</w:t>
            </w:r>
          </w:p>
        </w:tc>
      </w:tr>
      <w:tr>
        <w:trPr>
          <w:trHeight w:val="180"/>
        </w:trPr>
        <w:tc>
          <w:tcPr>
            <w:tcW w:w="31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Common equity Tier 1 capital ratio</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1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5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1,626,626</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14.65%</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777,359</w:t>
            </w:r>
          </w:p>
        </w:tc>
        <w:tc>
          <w:tcPr>
            <w:tcW w:w="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7.00%</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31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Bank</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1,610,514</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14.49%</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777,782</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7.00%</w:t>
            </w:r>
          </w:p>
        </w:tc>
        <w:tc>
          <w:tcPr>
            <w:tcW w:w="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722,226</w:t>
            </w:r>
          </w:p>
        </w:tc>
        <w:tc>
          <w:tcPr>
            <w:tcW w:w="4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6.50%</w:t>
            </w:r>
          </w:p>
        </w:tc>
      </w:tr>
      <w:tr>
        <w:trPr>
          <w:trHeight w:val="180"/>
        </w:trPr>
        <w:tc>
          <w:tcPr>
            <w:tcW w:w="31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Tier 1 Capital (to Risk-Weighted Assets)</w:t>
            </w:r>
          </w:p>
        </w:tc>
        <w:tc>
          <w:tcPr>
            <w:tcW w:w="5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180"/>
        </w:trPr>
        <w:tc>
          <w:tcPr>
            <w:tcW w:w="31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1,626,626</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14.65%</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943,936</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8.50%</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31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Bank</w:t>
            </w:r>
          </w:p>
        </w:tc>
        <w:tc>
          <w:tcPr>
            <w:tcW w:w="5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1,610,514</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14.49%</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944,450</w:t>
            </w:r>
          </w:p>
        </w:tc>
        <w:tc>
          <w:tcPr>
            <w:tcW w:w="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8.50%</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888,894</w:t>
            </w:r>
          </w:p>
        </w:tc>
        <w:tc>
          <w:tcPr>
            <w:tcW w:w="4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8.00%</w:t>
            </w:r>
          </w:p>
        </w:tc>
      </w:tr>
      <w:tr>
        <w:trPr>
          <w:trHeight w:val="180"/>
        </w:trPr>
        <w:tc>
          <w:tcPr>
            <w:tcW w:w="31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Capital (to Risk-Weighted Assets)</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1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5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1,720,968</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15.50%</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1,166,038</w:t>
            </w:r>
          </w:p>
        </w:tc>
        <w:tc>
          <w:tcPr>
            <w:tcW w:w="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10.50%</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203"/>
        </w:trPr>
        <w:tc>
          <w:tcPr>
            <w:tcW w:w="3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Bank</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1,704,856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1,166,673</w:t>
            </w: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&gt;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1,111,118</w:t>
            </w:r>
          </w:p>
        </w:tc>
        <w:tc>
          <w:tcPr>
            <w:tcW w:w="4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&gt;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bl>
    <w:p>
      <w:pPr>
        <w:spacing w:after="0" w:line="144" w:lineRule="exact"/>
        <w:rPr>
          <w:sz w:val="20"/>
          <w:szCs w:val="20"/>
          <w:color w:val="auto"/>
        </w:rPr>
      </w:pPr>
    </w:p>
    <w:p>
      <w:pPr>
        <w:ind w:right="300" w:firstLine="588"/>
        <w:spacing w:after="0" w:line="259" w:lineRule="auto"/>
        <w:rPr>
          <w:sz w:val="20"/>
          <w:szCs w:val="20"/>
          <w:color w:val="auto"/>
        </w:rPr>
      </w:pPr>
      <w:r>
        <w:rPr>
          <w:rFonts w:ascii="Times New Roman" w:cs="Times New Roman" w:eastAsia="Times New Roman" w:hAnsi="Times New Roman"/>
          <w:sz w:val="16"/>
          <w:szCs w:val="16"/>
          <w:color w:val="auto"/>
        </w:rPr>
        <w:t>In addition, the California Financial Code limits the amount of dividends a bank can pay without obtaining prior approval from bank regulators. Under this law, the Bank could, as of December 31, 2024, declare and pay additional dividends of approximately $235.0 million.</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29" w:name="page130"/>
    <w:bookmarkEnd w:id="129"/>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FAIR VALUE INFORMATION</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Fair Value Hierarchy</w:t>
      </w:r>
    </w:p>
    <w:p>
      <w:pPr>
        <w:spacing w:after="0" w:line="156" w:lineRule="exact"/>
        <w:rPr>
          <w:sz w:val="20"/>
          <w:szCs w:val="20"/>
          <w:color w:val="auto"/>
        </w:rPr>
      </w:pPr>
    </w:p>
    <w:p>
      <w:pPr>
        <w:ind w:left="20" w:right="200" w:firstLine="588"/>
        <w:spacing w:after="0" w:line="259" w:lineRule="auto"/>
        <w:rPr>
          <w:sz w:val="20"/>
          <w:szCs w:val="20"/>
          <w:color w:val="auto"/>
        </w:rPr>
      </w:pPr>
      <w:r>
        <w:rPr>
          <w:rFonts w:ascii="Times New Roman" w:cs="Times New Roman" w:eastAsia="Times New Roman" w:hAnsi="Times New Roman"/>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19" w:lineRule="exact"/>
        <w:rPr>
          <w:sz w:val="20"/>
          <w:szCs w:val="20"/>
          <w:color w:val="auto"/>
        </w:rPr>
      </w:pPr>
    </w:p>
    <w:p>
      <w:pPr>
        <w:ind w:left="20" w:right="200" w:firstLine="588"/>
        <w:spacing w:after="0" w:line="259" w:lineRule="auto"/>
        <w:rPr>
          <w:sz w:val="20"/>
          <w:szCs w:val="20"/>
          <w:color w:val="auto"/>
        </w:rPr>
      </w:pPr>
      <w:r>
        <w:rPr>
          <w:rFonts w:ascii="Times New Roman" w:cs="Times New Roman" w:eastAsia="Times New Roman" w:hAnsi="Times New Roman"/>
          <w:sz w:val="16"/>
          <w:szCs w:val="16"/>
          <w:color w:val="auto"/>
        </w:rPr>
        <w:t>The following disclosure provides the fair value information for financial assets and liabilities as of December 31, 2024. The fair value hierarchy prioritizes the inputs to valuation techniques used to measure fair value into three broad levels (Level 1, Level 2 and Level 3).</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Level 1 —</w:t>
      </w:r>
      <w:r>
        <w:rPr>
          <w:rFonts w:ascii="Times New Roman" w:cs="Times New Roman" w:eastAsia="Times New Roman" w:hAnsi="Times New Roman"/>
          <w:sz w:val="16"/>
          <w:szCs w:val="16"/>
          <w:color w:val="auto"/>
        </w:rPr>
        <w:t xml:space="preserve"> Quoted prices in active markets for identical assets or liabilities in active markets that are accessible at the measurement date.</w:t>
      </w:r>
    </w:p>
    <w:p>
      <w:pPr>
        <w:spacing w:after="0" w:line="16" w:lineRule="exact"/>
        <w:rPr>
          <w:sz w:val="20"/>
          <w:szCs w:val="20"/>
          <w:color w:val="auto"/>
        </w:rPr>
      </w:pPr>
    </w:p>
    <w:p>
      <w:pPr>
        <w:ind w:left="1220" w:right="340"/>
        <w:spacing w:after="0" w:line="2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 xml:space="preserve"> — Observable inputs other than Level 1, including quoted prices for similar assets and liabilities in active markets, quoted prices in less active markets, or other observable inputs or model-derived valuations that can be corroborated by observable market data, either directly or indirectly, for substantially the full term of the financial instrument.</w:t>
      </w:r>
    </w:p>
    <w:p>
      <w:pPr>
        <w:spacing w:after="0" w:line="2" w:lineRule="exact"/>
        <w:rPr>
          <w:sz w:val="20"/>
          <w:szCs w:val="20"/>
          <w:color w:val="auto"/>
        </w:rPr>
      </w:pPr>
    </w:p>
    <w:p>
      <w:pPr>
        <w:ind w:left="1220" w:right="320"/>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 xml:space="preserve"> — Prices or valuation techniques that require inputs that are both significant to the fair value measurement and unobservable. These valuation methodologies generally include pricing models, discounted cash flow models, or a determination of fair value that requires significant management judgment or estimation.</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w:t>
      </w:r>
    </w:p>
    <w:p>
      <w:pPr>
        <w:spacing w:after="0" w:line="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tables below present the balances of assets and liabilities measured at fair value on a recurring basis for the dates presented.</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8"/>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100" w:type="dxa"/>
            <w:vAlign w:val="bottom"/>
          </w:tcPr>
          <w:p>
            <w:pPr>
              <w:spacing w:after="0"/>
              <w:rPr>
                <w:sz w:val="14"/>
                <w:szCs w:val="14"/>
                <w:color w:val="auto"/>
              </w:rPr>
            </w:pPr>
          </w:p>
        </w:tc>
        <w:tc>
          <w:tcPr>
            <w:tcW w:w="14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169"/>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4"/>
                <w:szCs w:val="14"/>
                <w:color w:val="auto"/>
              </w:rPr>
            </w:pPr>
          </w:p>
        </w:tc>
        <w:tc>
          <w:tcPr>
            <w:tcW w:w="14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8"/>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gridSpan w:val="5"/>
          </w:tcPr>
          <w:p>
            <w:pPr>
              <w:ind w:left="9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2"/>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assets</w:t>
            </w: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8"/>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 AFS:</w:t>
            </w: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Government agency/GSE</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34,255</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4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34,255</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FF0FC"/>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4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2,134,534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2,134,534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CMO/REMIC</w:t>
            </w:r>
          </w:p>
        </w:tc>
        <w:tc>
          <w:tcPr>
            <w:tcW w:w="1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351,522</w:t>
            </w: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351,522</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Municipal bonds</w:t>
            </w:r>
          </w:p>
        </w:tc>
        <w:tc>
          <w:tcPr>
            <w:tcW w:w="14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20,377</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20,377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securities</w:t>
            </w:r>
          </w:p>
        </w:tc>
        <w:tc>
          <w:tcPr>
            <w:tcW w:w="1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investment securities - AFS</w:t>
            </w:r>
          </w:p>
        </w:tc>
        <w:tc>
          <w:tcPr>
            <w:tcW w:w="14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2,542,115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2,542,115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3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3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Fair value hedges: interest rate swaps</w:t>
            </w:r>
          </w:p>
        </w:tc>
        <w:tc>
          <w:tcPr>
            <w:tcW w:w="140" w:type="dxa"/>
            <w:vAlign w:val="bottom"/>
          </w:tcPr>
          <w:p>
            <w:pPr>
              <w:spacing w:after="0"/>
              <w:rPr>
                <w:sz w:val="15"/>
                <w:szCs w:val="15"/>
                <w:color w:val="auto"/>
              </w:rPr>
            </w:pPr>
          </w:p>
        </w:tc>
        <w:tc>
          <w:tcPr>
            <w:tcW w:w="168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100" w:type="dxa"/>
            <w:vAlign w:val="bottom"/>
          </w:tcPr>
          <w:p>
            <w:pPr>
              <w:spacing w:after="0"/>
              <w:rPr>
                <w:sz w:val="15"/>
                <w:szCs w:val="15"/>
                <w:color w:val="auto"/>
              </w:rPr>
            </w:pPr>
          </w:p>
        </w:tc>
        <w:tc>
          <w:tcPr>
            <w:tcW w:w="142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100" w:type="dxa"/>
            <w:vAlign w:val="bottom"/>
          </w:tcPr>
          <w:p>
            <w:pPr>
              <w:spacing w:after="0"/>
              <w:rPr>
                <w:sz w:val="15"/>
                <w:szCs w:val="15"/>
                <w:color w:val="auto"/>
              </w:rPr>
            </w:pPr>
          </w:p>
        </w:tc>
        <w:tc>
          <w:tcPr>
            <w:tcW w:w="1480" w:type="dxa"/>
            <w:vAlign w:val="bottom"/>
            <w:gridSpan w:val="2"/>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Cash flow hedges: interest rate swaps</w:t>
            </w:r>
          </w:p>
        </w:tc>
        <w:tc>
          <w:tcPr>
            <w:tcW w:w="1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2,549,367</w:t>
            </w:r>
          </w:p>
        </w:tc>
        <w:tc>
          <w:tcPr>
            <w:tcW w:w="30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4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2,549,367</w:t>
            </w:r>
          </w:p>
        </w:tc>
        <w:tc>
          <w:tcPr>
            <w:tcW w:w="28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5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Description of liability</w:t>
            </w: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5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4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FF0FC"/>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5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Fair value hedges: interest rate swaps</w:t>
            </w:r>
          </w:p>
        </w:tc>
        <w:tc>
          <w:tcPr>
            <w:tcW w:w="1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flow hedges: interest rate swaps</w:t>
            </w:r>
          </w:p>
        </w:tc>
        <w:tc>
          <w:tcPr>
            <w:tcW w:w="14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2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35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547</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547</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ind w:left="124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30" w:name="page131"/>
    <w:bookmarkEnd w:id="130"/>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68"/>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4"/>
          </w:tcPr>
          <w:p>
            <w:pPr>
              <w:ind w:left="9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assets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 AFS: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Government agency/GSE</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32,253</w:t>
            </w:r>
          </w:p>
        </w:tc>
        <w:tc>
          <w:tcPr>
            <w:tcW w:w="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32,253</w:t>
            </w:r>
          </w:p>
        </w:tc>
        <w:tc>
          <w:tcPr>
            <w:tcW w:w="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4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2,507,679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2,507,679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CMO/REMIC</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389,362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389,362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Municipal bonds</w:t>
            </w:r>
          </w:p>
        </w:tc>
        <w:tc>
          <w:tcPr>
            <w:tcW w:w="14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25,635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25,635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securities</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investment securities - AFS</w:t>
            </w:r>
          </w:p>
        </w:tc>
        <w:tc>
          <w:tcPr>
            <w:tcW w:w="14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2,956,125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2,956,125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20" w:type="dxa"/>
            <w:vAlign w:val="bottom"/>
            <w:vMerge w:val="restart"/>
          </w:tcPr>
          <w:p>
            <w:pPr>
              <w:jc w:val="right"/>
              <w:ind w:right="2068"/>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9"/>
        </w:trPr>
        <w:tc>
          <w:tcPr>
            <w:tcW w:w="3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tcPr>
          <w:p>
            <w:pPr>
              <w:jc w:val="right"/>
              <w:ind w:right="2068"/>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2,956,237</w:t>
            </w:r>
          </w:p>
        </w:tc>
        <w:tc>
          <w:tcPr>
            <w:tcW w:w="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2,956,237</w:t>
            </w:r>
          </w:p>
        </w:tc>
        <w:tc>
          <w:tcPr>
            <w:tcW w:w="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3520" w:type="dxa"/>
            <w:vAlign w:val="bottom"/>
            <w:tcBorders>
              <w:top w:val="single" w:sz="8" w:color="CFF0FC"/>
            </w:tcBorders>
          </w:tcPr>
          <w:p>
            <w:pPr>
              <w:jc w:val="right"/>
              <w:ind w:right="2048"/>
              <w:spacing w:after="0" w:line="156" w:lineRule="exact"/>
              <w:rPr>
                <w:sz w:val="20"/>
                <w:szCs w:val="20"/>
                <w:color w:val="auto"/>
              </w:rPr>
            </w:pPr>
            <w:r>
              <w:rPr>
                <w:rFonts w:ascii="Times New Roman" w:cs="Times New Roman" w:eastAsia="Times New Roman" w:hAnsi="Times New Roman"/>
                <w:sz w:val="14"/>
                <w:szCs w:val="14"/>
                <w:b w:val="1"/>
                <w:bCs w:val="1"/>
                <w:color w:val="auto"/>
              </w:rPr>
              <w:t>Description of liability</w:t>
            </w: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tcPr>
          <w:p>
            <w:pPr>
              <w:jc w:val="right"/>
              <w:ind w:right="2068"/>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3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3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tcPr>
          <w:p>
            <w:pPr>
              <w:jc w:val="right"/>
              <w:ind w:right="2068"/>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6,938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6,938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7,050</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7,050</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Non-Recurring Basis</w:t>
      </w:r>
    </w:p>
    <w:p>
      <w:pPr>
        <w:spacing w:after="0" w:line="156" w:lineRule="exact"/>
        <w:rPr>
          <w:sz w:val="20"/>
          <w:szCs w:val="20"/>
          <w:color w:val="auto"/>
        </w:rPr>
      </w:pPr>
    </w:p>
    <w:p>
      <w:pPr>
        <w:ind w:right="100" w:firstLine="588"/>
        <w:spacing w:after="0" w:line="259" w:lineRule="auto"/>
        <w:rPr>
          <w:sz w:val="20"/>
          <w:szCs w:val="20"/>
          <w:color w:val="auto"/>
        </w:rPr>
      </w:pPr>
      <w:r>
        <w:rPr>
          <w:rFonts w:ascii="Times New Roman" w:cs="Times New Roman" w:eastAsia="Times New Roman" w:hAnsi="Times New Roman"/>
          <w:sz w:val="16"/>
          <w:szCs w:val="16"/>
          <w:color w:val="auto"/>
        </w:rPr>
        <w:t>We may be required to remeasure certain assets at fair value on a non-recurring basis in accordance with GAAP. These adjustments to fair value usually result from application of lower of cost or fair value accounting or write-downs of individual assets.</w:t>
      </w:r>
    </w:p>
    <w:p>
      <w:pPr>
        <w:spacing w:after="0" w:line="119"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For assets measured at fair value on a non-recurring basis that were held on the balance sheet at December 31, 2024 and 2023, respectively, the following tables provide the level of valuation assumptions used to determine each adjustment and the carrying value of the related assets that had losses during the period. The fair values were determined using inputs based on observable market data or based on discounted cash flow criteria.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Active Markets for</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80" w:type="dxa"/>
            <w:vAlign w:val="bottom"/>
          </w:tcPr>
          <w:p>
            <w:pPr>
              <w:spacing w:after="0"/>
              <w:rPr>
                <w:sz w:val="13"/>
                <w:szCs w:val="13"/>
                <w:color w:val="auto"/>
              </w:rPr>
            </w:pPr>
          </w:p>
        </w:tc>
        <w:tc>
          <w:tcPr>
            <w:tcW w:w="14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Total Losses For the</w:t>
            </w:r>
          </w:p>
        </w:tc>
      </w:tr>
      <w:tr>
        <w:trPr>
          <w:trHeight w:val="156"/>
        </w:trPr>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Carrying Value at</w:t>
            </w:r>
          </w:p>
        </w:tc>
        <w:tc>
          <w:tcPr>
            <w:tcW w:w="138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Identical Assets (Level</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40" w:type="dxa"/>
            <w:vAlign w:val="bottom"/>
          </w:tcPr>
          <w:p>
            <w:pPr>
              <w:spacing w:after="0"/>
              <w:rPr>
                <w:sz w:val="13"/>
                <w:szCs w:val="13"/>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w:t>
            </w:r>
          </w:p>
        </w:tc>
      </w:tr>
      <w:tr>
        <w:trPr>
          <w:trHeight w:val="155"/>
        </w:trPr>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4"/>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5"/>
        </w:trPr>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6"/>
          </w:tcPr>
          <w:p>
            <w:pPr>
              <w:ind w:left="1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8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Description of assets</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8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Loans: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8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gridSpan w:val="2"/>
            <w:shd w:val="clear" w:color="auto" w:fill="CFF0FC"/>
          </w:tcPr>
          <w:p>
            <w:pPr>
              <w:jc w:val="right"/>
              <w:ind w:right="14"/>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28,728</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ind w:left="9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FF0FC"/>
          </w:tcPr>
          <w:p>
            <w:pPr>
              <w:ind w:left="10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ind w:right="7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28,728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8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9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ind w:left="10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8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SBA</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1,532</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9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gridSpan w:val="3"/>
            <w:shd w:val="clear" w:color="auto" w:fill="CFF0FC"/>
          </w:tcPr>
          <w:p>
            <w:pPr>
              <w:ind w:left="10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1,532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8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SBA - PPP</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9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ind w:left="10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8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3,144</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9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gridSpan w:val="3"/>
            <w:shd w:val="clear" w:color="auto" w:fill="CFF0FC"/>
          </w:tcPr>
          <w:p>
            <w:pPr>
              <w:ind w:left="10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3,144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7"/>
        </w:trPr>
        <w:tc>
          <w:tcPr>
            <w:tcW w:w="2880" w:type="dxa"/>
            <w:vAlign w:val="bottom"/>
          </w:tcPr>
          <w:p>
            <w:pPr>
              <w:ind w:left="260"/>
              <w:spacing w:after="0" w:line="167" w:lineRule="exact"/>
              <w:rPr>
                <w:sz w:val="20"/>
                <w:szCs w:val="20"/>
                <w:color w:val="auto"/>
              </w:rPr>
            </w:pPr>
            <w:r>
              <w:rPr>
                <w:rFonts w:ascii="Times New Roman" w:cs="Times New Roman" w:eastAsia="Times New Roman" w:hAnsi="Times New Roman"/>
                <w:sz w:val="16"/>
                <w:szCs w:val="16"/>
                <w:color w:val="auto"/>
              </w:rPr>
              <w:t>Dairy &amp; livestock and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agribusiness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7"/>
        </w:trPr>
        <w:tc>
          <w:tcPr>
            <w:tcW w:w="2880" w:type="dxa"/>
            <w:vAlign w:val="bottom"/>
            <w:shd w:val="clear" w:color="auto" w:fill="CFF0FC"/>
          </w:tcPr>
          <w:p>
            <w:pPr>
              <w:ind w:left="260"/>
              <w:spacing w:after="0" w:line="167" w:lineRule="exact"/>
              <w:rPr>
                <w:sz w:val="20"/>
                <w:szCs w:val="20"/>
                <w:color w:val="auto"/>
              </w:rPr>
            </w:pPr>
            <w:r>
              <w:rPr>
                <w:rFonts w:ascii="Times New Roman" w:cs="Times New Roman" w:eastAsia="Times New Roman" w:hAnsi="Times New Roman"/>
                <w:sz w:val="16"/>
                <w:szCs w:val="16"/>
                <w:color w:val="auto"/>
              </w:rPr>
              <w:t>Municipal lease finance</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receivables</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gridSpan w:val="3"/>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8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SFR mortgage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9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ind w:left="10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8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Consumer and other loans</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9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gridSpan w:val="3"/>
            <w:shd w:val="clear" w:color="auto" w:fill="CFF0FC"/>
          </w:tcPr>
          <w:p>
            <w:pPr>
              <w:ind w:left="10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8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real estate owned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10,429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9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ind w:left="10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10,429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2,296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0"/>
        </w:trPr>
        <w:tc>
          <w:tcPr>
            <w:tcW w:w="2880" w:type="dxa"/>
            <w:vAlign w:val="bottom"/>
            <w:shd w:val="clear" w:color="auto" w:fill="CFF0FC"/>
          </w:tcPr>
          <w:p>
            <w:pPr>
              <w:ind w:left="500"/>
              <w:spacing w:after="0" w:line="160" w:lineRule="exact"/>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gridSpan w:val="2"/>
            <w:shd w:val="clear" w:color="auto" w:fill="CFF0FC"/>
          </w:tcPr>
          <w:p>
            <w:pPr>
              <w:jc w:val="right"/>
              <w:ind w:right="14"/>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44,693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ind w:left="9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FF0FC"/>
          </w:tcPr>
          <w:p>
            <w:pPr>
              <w:ind w:left="10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ind w:right="74"/>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44,693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2,585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23"/>
        </w:trPr>
        <w:tc>
          <w:tcPr>
            <w:tcW w:w="28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Active Markets for</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 Losses For the</w:t>
            </w:r>
          </w:p>
        </w:tc>
      </w:tr>
      <w:tr>
        <w:trPr>
          <w:trHeight w:val="156"/>
        </w:trPr>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Carrying Value at</w:t>
            </w:r>
          </w:p>
        </w:tc>
        <w:tc>
          <w:tcPr>
            <w:tcW w:w="60" w:type="dxa"/>
            <w:vAlign w:val="bottom"/>
          </w:tcPr>
          <w:p>
            <w:pPr>
              <w:spacing w:after="0"/>
              <w:rPr>
                <w:sz w:val="13"/>
                <w:szCs w:val="13"/>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Identical Assets (Level</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40" w:type="dxa"/>
            <w:vAlign w:val="bottom"/>
          </w:tcPr>
          <w:p>
            <w:pPr>
              <w:spacing w:after="0"/>
              <w:rPr>
                <w:sz w:val="13"/>
                <w:szCs w:val="13"/>
                <w:color w:val="auto"/>
              </w:rPr>
            </w:pPr>
          </w:p>
        </w:tc>
        <w:tc>
          <w:tcPr>
            <w:tcW w:w="14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80" w:type="dxa"/>
            <w:vAlign w:val="bottom"/>
          </w:tcPr>
          <w:p>
            <w:pPr>
              <w:spacing w:after="0"/>
              <w:rPr>
                <w:sz w:val="13"/>
                <w:szCs w:val="13"/>
                <w:color w:val="auto"/>
              </w:rPr>
            </w:pPr>
          </w:p>
        </w:tc>
        <w:tc>
          <w:tcPr>
            <w:tcW w:w="1420" w:type="dxa"/>
            <w:vAlign w:val="bottom"/>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Year Ended December</w:t>
            </w:r>
          </w:p>
        </w:tc>
      </w:tr>
      <w:tr>
        <w:trPr>
          <w:trHeight w:val="155"/>
        </w:trPr>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8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Description of assets</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8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Loans: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8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18,678</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ind w:left="10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FF0FC"/>
          </w:tcPr>
          <w:p>
            <w:pPr>
              <w:ind w:left="10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18,678</w:t>
            </w:r>
          </w:p>
        </w:tc>
        <w:tc>
          <w:tcPr>
            <w:tcW w:w="140" w:type="dxa"/>
            <w:vAlign w:val="bottom"/>
            <w:shd w:val="clear" w:color="auto" w:fill="CFF0FC"/>
          </w:tcPr>
          <w:p>
            <w:pPr>
              <w:spacing w:after="0"/>
              <w:rPr>
                <w:sz w:val="15"/>
                <w:szCs w:val="15"/>
                <w:color w:val="auto"/>
              </w:rPr>
            </w:pPr>
          </w:p>
        </w:tc>
        <w:tc>
          <w:tcPr>
            <w:tcW w:w="180" w:type="dxa"/>
            <w:vAlign w:val="bottom"/>
            <w:gridSpan w:val="2"/>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4"/>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2,128</w:t>
            </w:r>
          </w:p>
        </w:tc>
      </w:tr>
      <w:tr>
        <w:trPr>
          <w:trHeight w:val="180"/>
        </w:trPr>
        <w:tc>
          <w:tcPr>
            <w:tcW w:w="28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10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ind w:left="10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8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SBA</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995</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10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gridSpan w:val="3"/>
            <w:shd w:val="clear" w:color="auto" w:fill="CFF0FC"/>
          </w:tcPr>
          <w:p>
            <w:pPr>
              <w:ind w:left="10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995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FF0FC"/>
          </w:tcPr>
          <w:p>
            <w:pPr>
              <w:spacing w:after="0"/>
              <w:rPr>
                <w:sz w:val="15"/>
                <w:szCs w:val="15"/>
                <w:color w:val="auto"/>
              </w:rPr>
            </w:pPr>
          </w:p>
        </w:tc>
      </w:tr>
      <w:tr>
        <w:trPr>
          <w:trHeight w:val="180"/>
        </w:trPr>
        <w:tc>
          <w:tcPr>
            <w:tcW w:w="28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SBA - PPP</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10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ind w:left="10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8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6,092</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10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gridSpan w:val="3"/>
            <w:shd w:val="clear" w:color="auto" w:fill="CFF0FC"/>
          </w:tcPr>
          <w:p>
            <w:pPr>
              <w:ind w:left="10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6,092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4"/>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3,510</w:t>
            </w:r>
          </w:p>
        </w:tc>
      </w:tr>
      <w:tr>
        <w:trPr>
          <w:trHeight w:val="167"/>
        </w:trPr>
        <w:tc>
          <w:tcPr>
            <w:tcW w:w="2880" w:type="dxa"/>
            <w:vAlign w:val="bottom"/>
          </w:tcPr>
          <w:p>
            <w:pPr>
              <w:ind w:left="260"/>
              <w:spacing w:after="0" w:line="167" w:lineRule="exact"/>
              <w:rPr>
                <w:sz w:val="20"/>
                <w:szCs w:val="20"/>
                <w:color w:val="auto"/>
              </w:rPr>
            </w:pPr>
            <w:r>
              <w:rPr>
                <w:rFonts w:ascii="Times New Roman" w:cs="Times New Roman" w:eastAsia="Times New Roman" w:hAnsi="Times New Roman"/>
                <w:sz w:val="16"/>
                <w:szCs w:val="16"/>
                <w:color w:val="auto"/>
              </w:rPr>
              <w:t>Dairy &amp; livestock and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agribusiness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4,700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4,700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6"/>
                <w:szCs w:val="16"/>
                <w:color w:val="auto"/>
              </w:rPr>
            </w:pPr>
          </w:p>
        </w:tc>
      </w:tr>
      <w:tr>
        <w:trPr>
          <w:trHeight w:val="167"/>
        </w:trPr>
        <w:tc>
          <w:tcPr>
            <w:tcW w:w="2880" w:type="dxa"/>
            <w:vAlign w:val="bottom"/>
            <w:shd w:val="clear" w:color="auto" w:fill="CFF0FC"/>
          </w:tcPr>
          <w:p>
            <w:pPr>
              <w:ind w:left="260"/>
              <w:spacing w:after="0" w:line="167" w:lineRule="exact"/>
              <w:rPr>
                <w:sz w:val="20"/>
                <w:szCs w:val="20"/>
                <w:color w:val="auto"/>
              </w:rPr>
            </w:pPr>
            <w:r>
              <w:rPr>
                <w:rFonts w:ascii="Times New Roman" w:cs="Times New Roman" w:eastAsia="Times New Roman" w:hAnsi="Times New Roman"/>
                <w:sz w:val="16"/>
                <w:szCs w:val="16"/>
                <w:color w:val="auto"/>
              </w:rPr>
              <w:t>Municipal lease finance</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3"/>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receivables</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gridSpan w:val="3"/>
            <w:shd w:val="clear" w:color="auto" w:fill="CFF0FC"/>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28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SFR mortgage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10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ind w:left="10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8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Consumer and other loans</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10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gridSpan w:val="3"/>
            <w:shd w:val="clear" w:color="auto" w:fill="CFF0FC"/>
          </w:tcPr>
          <w:p>
            <w:pPr>
              <w:ind w:left="10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4"/>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8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real estate owned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10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ind w:left="10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2880" w:type="dxa"/>
            <w:vAlign w:val="bottom"/>
            <w:shd w:val="clear" w:color="auto" w:fill="CFF0FC"/>
          </w:tcPr>
          <w:p>
            <w:pPr>
              <w:ind w:left="500"/>
              <w:spacing w:after="0" w:line="160" w:lineRule="exact"/>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30,465</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ind w:left="1060"/>
              <w:spacing w:after="0" w:line="160" w:lineRule="exact"/>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3"/>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FF0FC"/>
          </w:tcPr>
          <w:p>
            <w:pPr>
              <w:ind w:left="10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ind w:lef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30,465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100"/>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4"/>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5,722</w:t>
            </w:r>
          </w:p>
        </w:tc>
      </w:tr>
      <w:tr>
        <w:trPr>
          <w:trHeight w:val="682"/>
        </w:trPr>
        <w:tc>
          <w:tcPr>
            <w:tcW w:w="28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782"/>
        </w:trPr>
        <w:tc>
          <w:tcPr>
            <w:tcW w:w="28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7" w:right="66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56" w:lineRule="exact"/>
        <w:rPr>
          <w:sz w:val="20"/>
          <w:szCs w:val="20"/>
          <w:color w:val="auto"/>
        </w:rPr>
      </w:pPr>
    </w:p>
    <w:p>
      <w:pPr>
        <w:ind w:right="120" w:firstLine="588"/>
        <w:spacing w:after="0" w:line="289" w:lineRule="auto"/>
        <w:rPr>
          <w:sz w:val="20"/>
          <w:szCs w:val="20"/>
          <w:color w:val="auto"/>
        </w:rPr>
      </w:pPr>
      <w:r>
        <w:rPr>
          <w:rFonts w:ascii="Times New Roman" w:cs="Times New Roman" w:eastAsia="Times New Roman" w:hAnsi="Times New Roman"/>
          <w:sz w:val="14"/>
          <w:szCs w:val="14"/>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December 31, 2024 and 2023, respectively. The use of different market assumptions and/or estimation methodologies may have a material effect on the estimated fair value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0"/>
        </w:trPr>
        <w:tc>
          <w:tcPr>
            <w:tcW w:w="3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20" w:type="dxa"/>
            <w:vAlign w:val="bottom"/>
            <w:gridSpan w:val="3"/>
          </w:tcPr>
          <w:p>
            <w:pPr>
              <w:jc w:val="right"/>
              <w:ind w:right="502"/>
              <w:spacing w:after="0" w:line="180" w:lineRule="exact"/>
              <w:rPr>
                <w:sz w:val="20"/>
                <w:szCs w:val="20"/>
                <w:color w:val="auto"/>
              </w:rPr>
            </w:pPr>
            <w:r>
              <w:rPr>
                <w:rFonts w:ascii="Times New Roman" w:cs="Times New Roman" w:eastAsia="Times New Roman" w:hAnsi="Times New Roman"/>
                <w:sz w:val="16"/>
                <w:szCs w:val="16"/>
                <w:b w:val="1"/>
                <w:bCs w:val="1"/>
                <w:color w:val="auto"/>
              </w:rPr>
              <w:t>Estimated Fair Value</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1"/>
        </w:trPr>
        <w:tc>
          <w:tcPr>
            <w:tcW w:w="3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82"/>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440" w:type="dxa"/>
            <w:vAlign w:val="bottom"/>
          </w:tcPr>
          <w:p>
            <w:pPr>
              <w:spacing w:after="0"/>
              <w:rPr>
                <w:sz w:val="15"/>
                <w:szCs w:val="15"/>
                <w:color w:val="auto"/>
              </w:rPr>
            </w:pPr>
          </w:p>
        </w:tc>
        <w:tc>
          <w:tcPr>
            <w:tcW w:w="940" w:type="dxa"/>
            <w:vAlign w:val="bottom"/>
          </w:tcPr>
          <w:p>
            <w:pPr>
              <w:jc w:val="right"/>
              <w:ind w:right="282"/>
              <w:spacing w:after="0" w:line="181" w:lineRule="exact"/>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Pr>
          <w:p>
            <w:pPr>
              <w:spacing w:after="0"/>
              <w:rPr>
                <w:sz w:val="15"/>
                <w:szCs w:val="15"/>
                <w:color w:val="auto"/>
              </w:rPr>
            </w:pPr>
          </w:p>
        </w:tc>
        <w:tc>
          <w:tcPr>
            <w:tcW w:w="1080" w:type="dxa"/>
            <w:vAlign w:val="bottom"/>
          </w:tcPr>
          <w:p>
            <w:pPr>
              <w:jc w:val="right"/>
              <w:ind w:right="422"/>
              <w:spacing w:after="0" w:line="181"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5"/>
                <w:szCs w:val="15"/>
                <w:color w:val="auto"/>
              </w:rPr>
            </w:pPr>
          </w:p>
        </w:tc>
        <w:tc>
          <w:tcPr>
            <w:tcW w:w="1000" w:type="dxa"/>
            <w:vAlign w:val="bottom"/>
          </w:tcPr>
          <w:p>
            <w:pPr>
              <w:jc w:val="right"/>
              <w:ind w:right="342"/>
              <w:spacing w:after="0" w:line="181" w:lineRule="exact"/>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5"/>
                <w:szCs w:val="15"/>
                <w:color w:val="auto"/>
              </w:rPr>
            </w:pPr>
          </w:p>
        </w:tc>
        <w:tc>
          <w:tcPr>
            <w:tcW w:w="980" w:type="dxa"/>
            <w:vAlign w:val="bottom"/>
          </w:tcPr>
          <w:p>
            <w:pPr>
              <w:jc w:val="right"/>
              <w:ind w:right="402"/>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92"/>
        </w:trPr>
        <w:tc>
          <w:tcPr>
            <w:tcW w:w="3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2"/>
        </w:trPr>
        <w:tc>
          <w:tcPr>
            <w:tcW w:w="372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Assets</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7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cash and cash equivalents</w:t>
            </w: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204,698</w:t>
            </w: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204,698</w:t>
            </w:r>
          </w:p>
        </w:tc>
        <w:tc>
          <w:tcPr>
            <w:tcW w:w="3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204,698</w:t>
            </w:r>
          </w:p>
        </w:tc>
      </w:tr>
      <w:tr>
        <w:trPr>
          <w:trHeight w:val="167"/>
        </w:trPr>
        <w:tc>
          <w:tcPr>
            <w:tcW w:w="3720" w:type="dxa"/>
            <w:vAlign w:val="bottom"/>
            <w:shd w:val="clear" w:color="auto" w:fill="CFF0FC"/>
          </w:tcPr>
          <w:p>
            <w:pPr>
              <w:ind w:left="180"/>
              <w:spacing w:after="0" w:line="167" w:lineRule="exact"/>
              <w:rPr>
                <w:sz w:val="20"/>
                <w:szCs w:val="20"/>
                <w:color w:val="auto"/>
              </w:rPr>
            </w:pPr>
            <w:r>
              <w:rPr>
                <w:rFonts w:ascii="Times New Roman" w:cs="Times New Roman" w:eastAsia="Times New Roman" w:hAnsi="Times New Roman"/>
                <w:sz w:val="16"/>
                <w:szCs w:val="16"/>
                <w:color w:val="auto"/>
              </w:rPr>
              <w:t>Interest-earning balances due from</w:t>
            </w:r>
          </w:p>
        </w:tc>
        <w:tc>
          <w:tcPr>
            <w:tcW w:w="5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r>
      <w:tr>
        <w:trPr>
          <w:trHeight w:val="193"/>
        </w:trPr>
        <w:tc>
          <w:tcPr>
            <w:tcW w:w="3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depository institutions</w:t>
            </w: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4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480</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480</w:t>
            </w:r>
          </w:p>
        </w:tc>
      </w:tr>
      <w:tr>
        <w:trPr>
          <w:trHeight w:val="180"/>
        </w:trPr>
        <w:tc>
          <w:tcPr>
            <w:tcW w:w="37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5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2,542,115</w:t>
            </w:r>
          </w:p>
        </w:tc>
        <w:tc>
          <w:tcPr>
            <w:tcW w:w="440" w:type="dxa"/>
            <w:vAlign w:val="bottom"/>
          </w:tcPr>
          <w:p>
            <w:pPr>
              <w:spacing w:after="0"/>
              <w:rPr>
                <w:sz w:val="15"/>
                <w:szCs w:val="15"/>
                <w:color w:val="auto"/>
              </w:rPr>
            </w:pP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2,542,115</w:t>
            </w:r>
          </w:p>
        </w:tc>
        <w:tc>
          <w:tcPr>
            <w:tcW w:w="24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2,542,115</w:t>
            </w:r>
          </w:p>
        </w:tc>
      </w:tr>
      <w:tr>
        <w:trPr>
          <w:trHeight w:val="180"/>
        </w:trPr>
        <w:tc>
          <w:tcPr>
            <w:tcW w:w="37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2,379,668</w:t>
            </w: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1,954,345</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1,954,345</w:t>
            </w:r>
          </w:p>
        </w:tc>
      </w:tr>
      <w:tr>
        <w:trPr>
          <w:trHeight w:val="167"/>
        </w:trPr>
        <w:tc>
          <w:tcPr>
            <w:tcW w:w="3720" w:type="dxa"/>
            <w:vAlign w:val="bottom"/>
          </w:tcPr>
          <w:p>
            <w:pPr>
              <w:ind w:left="180"/>
              <w:spacing w:after="0" w:line="167" w:lineRule="exact"/>
              <w:rPr>
                <w:sz w:val="20"/>
                <w:szCs w:val="20"/>
                <w:color w:val="auto"/>
              </w:rPr>
            </w:pPr>
            <w:r>
              <w:rPr>
                <w:rFonts w:ascii="Times New Roman" w:cs="Times New Roman" w:eastAsia="Times New Roman" w:hAnsi="Times New Roman"/>
                <w:sz w:val="16"/>
                <w:szCs w:val="16"/>
                <w:color w:val="auto"/>
              </w:rPr>
              <w:t>Total loans, net of allowance for credit</w:t>
            </w: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3"/>
        </w:trPr>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losses</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8,456,310</w:t>
            </w:r>
          </w:p>
        </w:tc>
        <w:tc>
          <w:tcPr>
            <w:tcW w:w="440" w:type="dxa"/>
            <w:vAlign w:val="bottom"/>
          </w:tcPr>
          <w:p>
            <w:pPr>
              <w:spacing w:after="0"/>
              <w:rPr>
                <w:sz w:val="16"/>
                <w:szCs w:val="16"/>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10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8,149,801</w:t>
            </w:r>
          </w:p>
        </w:tc>
        <w:tc>
          <w:tcPr>
            <w:tcW w:w="36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8,149,801</w:t>
            </w:r>
          </w:p>
        </w:tc>
      </w:tr>
      <w:tr>
        <w:trPr>
          <w:trHeight w:val="180"/>
        </w:trPr>
        <w:tc>
          <w:tcPr>
            <w:tcW w:w="37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7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440" w:type="dxa"/>
            <w:vAlign w:val="bottom"/>
          </w:tcPr>
          <w:p>
            <w:pPr>
              <w:spacing w:after="0"/>
              <w:rPr>
                <w:sz w:val="15"/>
                <w:szCs w:val="15"/>
                <w:color w:val="auto"/>
              </w:rPr>
            </w:pP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37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7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5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440" w:type="dxa"/>
            <w:vAlign w:val="bottom"/>
          </w:tcPr>
          <w:p>
            <w:pPr>
              <w:spacing w:after="0"/>
              <w:rPr>
                <w:sz w:val="15"/>
                <w:szCs w:val="15"/>
                <w:color w:val="auto"/>
              </w:rPr>
            </w:pP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24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7,222</w:t>
            </w:r>
          </w:p>
        </w:tc>
      </w:tr>
      <w:tr>
        <w:trPr>
          <w:trHeight w:val="180"/>
        </w:trPr>
        <w:tc>
          <w:tcPr>
            <w:tcW w:w="372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7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Deposits:</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7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Interest-bearing</w:t>
            </w: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4,911,285</w:t>
            </w: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4,908,070</w:t>
            </w:r>
          </w:p>
        </w:tc>
        <w:tc>
          <w:tcPr>
            <w:tcW w:w="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4,908,070</w:t>
            </w:r>
          </w:p>
        </w:tc>
      </w:tr>
      <w:tr>
        <w:trPr>
          <w:trHeight w:val="180"/>
        </w:trPr>
        <w:tc>
          <w:tcPr>
            <w:tcW w:w="37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Borrowings</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761,887</w:t>
            </w: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716,566</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716,566</w:t>
            </w:r>
          </w:p>
        </w:tc>
      </w:tr>
      <w:tr>
        <w:trPr>
          <w:trHeight w:val="180"/>
        </w:trPr>
        <w:tc>
          <w:tcPr>
            <w:tcW w:w="37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Junior subordinated debentures</w:t>
            </w:r>
          </w:p>
        </w:tc>
        <w:tc>
          <w:tcPr>
            <w:tcW w:w="5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5"/>
                <w:szCs w:val="15"/>
                <w:color w:val="auto"/>
              </w:rPr>
            </w:pP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7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7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440" w:type="dxa"/>
            <w:vAlign w:val="bottom"/>
          </w:tcPr>
          <w:p>
            <w:pPr>
              <w:spacing w:after="0"/>
              <w:rPr>
                <w:sz w:val="15"/>
                <w:szCs w:val="15"/>
                <w:color w:val="auto"/>
              </w:rPr>
            </w:pP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37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7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5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5"/>
                <w:szCs w:val="15"/>
                <w:color w:val="auto"/>
              </w:rPr>
            </w:pP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72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517</w:t>
            </w:r>
          </w:p>
        </w:tc>
      </w:tr>
      <w:tr>
        <w:trPr>
          <w:trHeight w:val="466"/>
        </w:trPr>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132</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82"/>
        </w:trPr>
        <w:tc>
          <w:tcPr>
            <w:tcW w:w="37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133" w:name="page134"/>
    <w:bookmarkEnd w:id="133"/>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0"/>
        </w:trPr>
        <w:tc>
          <w:tcPr>
            <w:tcW w:w="3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0" w:type="dxa"/>
            <w:vAlign w:val="bottom"/>
            <w:gridSpan w:val="3"/>
          </w:tcPr>
          <w:p>
            <w:pPr>
              <w:jc w:val="right"/>
              <w:ind w:right="462"/>
              <w:spacing w:after="0" w:line="180" w:lineRule="exact"/>
              <w:rPr>
                <w:sz w:val="20"/>
                <w:szCs w:val="20"/>
                <w:color w:val="auto"/>
              </w:rPr>
            </w:pPr>
            <w:r>
              <w:rPr>
                <w:rFonts w:ascii="Times New Roman" w:cs="Times New Roman" w:eastAsia="Times New Roman" w:hAnsi="Times New Roman"/>
                <w:sz w:val="16"/>
                <w:szCs w:val="16"/>
                <w:b w:val="1"/>
                <w:bCs w:val="1"/>
                <w:color w:val="auto"/>
              </w:rPr>
              <w:t>Estimated Fair Value</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3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ind w:right="282"/>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5"/>
                <w:szCs w:val="15"/>
                <w:color w:val="auto"/>
              </w:rPr>
            </w:pPr>
          </w:p>
        </w:tc>
        <w:tc>
          <w:tcPr>
            <w:tcW w:w="880" w:type="dxa"/>
            <w:vAlign w:val="bottom"/>
          </w:tcPr>
          <w:p>
            <w:pPr>
              <w:jc w:val="right"/>
              <w:ind w:right="222"/>
              <w:spacing w:after="0" w:line="181" w:lineRule="exact"/>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Pr>
          <w:p>
            <w:pPr>
              <w:spacing w:after="0"/>
              <w:rPr>
                <w:sz w:val="15"/>
                <w:szCs w:val="15"/>
                <w:color w:val="auto"/>
              </w:rPr>
            </w:pPr>
          </w:p>
        </w:tc>
        <w:tc>
          <w:tcPr>
            <w:tcW w:w="1020" w:type="dxa"/>
            <w:vAlign w:val="bottom"/>
          </w:tcPr>
          <w:p>
            <w:pPr>
              <w:jc w:val="right"/>
              <w:ind w:right="362"/>
              <w:spacing w:after="0" w:line="181"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5"/>
                <w:szCs w:val="15"/>
                <w:color w:val="auto"/>
              </w:rPr>
            </w:pPr>
          </w:p>
        </w:tc>
        <w:tc>
          <w:tcPr>
            <w:tcW w:w="940" w:type="dxa"/>
            <w:vAlign w:val="bottom"/>
          </w:tcPr>
          <w:p>
            <w:pPr>
              <w:jc w:val="right"/>
              <w:ind w:right="302"/>
              <w:spacing w:after="0" w:line="181" w:lineRule="exact"/>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5"/>
                <w:szCs w:val="15"/>
                <w:color w:val="auto"/>
              </w:rPr>
            </w:pPr>
          </w:p>
        </w:tc>
        <w:tc>
          <w:tcPr>
            <w:tcW w:w="880" w:type="dxa"/>
            <w:vAlign w:val="bottom"/>
          </w:tcPr>
          <w:p>
            <w:pPr>
              <w:jc w:val="right"/>
              <w:ind w:right="342"/>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82"/>
        </w:trPr>
        <w:tc>
          <w:tcPr>
            <w:tcW w:w="3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8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38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cash and cash equivalents</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281,285</w:t>
            </w:r>
          </w:p>
        </w:tc>
        <w:tc>
          <w:tcPr>
            <w:tcW w:w="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281,285</w:t>
            </w:r>
          </w:p>
        </w:tc>
        <w:tc>
          <w:tcPr>
            <w:tcW w:w="3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281,285</w:t>
            </w:r>
          </w:p>
        </w:tc>
      </w:tr>
      <w:tr>
        <w:trPr>
          <w:trHeight w:val="167"/>
        </w:trPr>
        <w:tc>
          <w:tcPr>
            <w:tcW w:w="3880" w:type="dxa"/>
            <w:vAlign w:val="bottom"/>
            <w:shd w:val="clear" w:color="auto" w:fill="CFF0FC"/>
          </w:tcPr>
          <w:p>
            <w:pPr>
              <w:ind w:left="180"/>
              <w:spacing w:after="0" w:line="167" w:lineRule="exact"/>
              <w:rPr>
                <w:sz w:val="20"/>
                <w:szCs w:val="20"/>
                <w:color w:val="auto"/>
              </w:rPr>
            </w:pPr>
            <w:r>
              <w:rPr>
                <w:rFonts w:ascii="Times New Roman" w:cs="Times New Roman" w:eastAsia="Times New Roman" w:hAnsi="Times New Roman"/>
                <w:sz w:val="16"/>
                <w:szCs w:val="16"/>
                <w:color w:val="auto"/>
              </w:rPr>
              <w:t>Interest-earning balances due from</w:t>
            </w:r>
          </w:p>
        </w:tc>
        <w:tc>
          <w:tcPr>
            <w:tcW w:w="6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93"/>
        </w:trPr>
        <w:tc>
          <w:tcPr>
            <w:tcW w:w="3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depository institutions</w:t>
            </w:r>
          </w:p>
        </w:tc>
        <w:tc>
          <w:tcPr>
            <w:tcW w:w="6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8,216</w:t>
            </w:r>
          </w:p>
        </w:tc>
        <w:tc>
          <w:tcPr>
            <w:tcW w:w="3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8,216</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8,216</w:t>
            </w:r>
          </w:p>
        </w:tc>
      </w:tr>
      <w:tr>
        <w:trPr>
          <w:trHeight w:val="180"/>
        </w:trPr>
        <w:tc>
          <w:tcPr>
            <w:tcW w:w="38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66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2,956,125</w:t>
            </w:r>
          </w:p>
        </w:tc>
        <w:tc>
          <w:tcPr>
            <w:tcW w:w="3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0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2,956,125</w:t>
            </w:r>
          </w:p>
        </w:tc>
        <w:tc>
          <w:tcPr>
            <w:tcW w:w="24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2,956,125</w:t>
            </w:r>
          </w:p>
        </w:tc>
      </w:tr>
      <w:tr>
        <w:trPr>
          <w:trHeight w:val="180"/>
        </w:trPr>
        <w:tc>
          <w:tcPr>
            <w:tcW w:w="38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2,464,610</w:t>
            </w: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2,082,881</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2,082,881</w:t>
            </w:r>
          </w:p>
        </w:tc>
      </w:tr>
      <w:tr>
        <w:trPr>
          <w:trHeight w:val="167"/>
        </w:trPr>
        <w:tc>
          <w:tcPr>
            <w:tcW w:w="3880" w:type="dxa"/>
            <w:vAlign w:val="bottom"/>
          </w:tcPr>
          <w:p>
            <w:pPr>
              <w:ind w:left="180"/>
              <w:spacing w:after="0" w:line="167" w:lineRule="exact"/>
              <w:rPr>
                <w:sz w:val="20"/>
                <w:szCs w:val="20"/>
                <w:color w:val="auto"/>
              </w:rPr>
            </w:pPr>
            <w:r>
              <w:rPr>
                <w:rFonts w:ascii="Times New Roman" w:cs="Times New Roman" w:eastAsia="Times New Roman" w:hAnsi="Times New Roman"/>
                <w:sz w:val="16"/>
                <w:szCs w:val="16"/>
                <w:color w:val="auto"/>
              </w:rPr>
              <w:t>Total loans, net of allowance for credit</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3"/>
        </w:trPr>
        <w:tc>
          <w:tcPr>
            <w:tcW w:w="3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losses</w:t>
            </w:r>
          </w:p>
        </w:tc>
        <w:tc>
          <w:tcPr>
            <w:tcW w:w="660" w:type="dxa"/>
            <w:vAlign w:val="bottom"/>
          </w:tcPr>
          <w:p>
            <w:pPr>
              <w:spacing w:after="0"/>
              <w:rPr>
                <w:sz w:val="16"/>
                <w:szCs w:val="16"/>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8,818,068</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10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8,503,518</w:t>
            </w:r>
          </w:p>
        </w:tc>
        <w:tc>
          <w:tcPr>
            <w:tcW w:w="34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8,503,518</w:t>
            </w:r>
          </w:p>
        </w:tc>
      </w:tr>
      <w:tr>
        <w:trPr>
          <w:trHeight w:val="220"/>
        </w:trPr>
        <w:tc>
          <w:tcPr>
            <w:tcW w:w="3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6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r>
      <w:tr>
        <w:trPr>
          <w:trHeight w:val="180"/>
        </w:trPr>
        <w:tc>
          <w:tcPr>
            <w:tcW w:w="388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66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3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0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24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w:t>
            </w:r>
          </w:p>
        </w:tc>
      </w:tr>
      <w:tr>
        <w:trPr>
          <w:trHeight w:val="180"/>
        </w:trPr>
        <w:tc>
          <w:tcPr>
            <w:tcW w:w="38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388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66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0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8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38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Deposits:</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88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Interest-bearing</w:t>
            </w: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4,227,467</w:t>
            </w: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4,222,773</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4,222,773</w:t>
            </w:r>
          </w:p>
        </w:tc>
      </w:tr>
      <w:tr>
        <w:trPr>
          <w:trHeight w:val="180"/>
        </w:trPr>
        <w:tc>
          <w:tcPr>
            <w:tcW w:w="38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Borrowings</w:t>
            </w:r>
          </w:p>
        </w:tc>
        <w:tc>
          <w:tcPr>
            <w:tcW w:w="66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2,341,642</w:t>
            </w:r>
          </w:p>
        </w:tc>
        <w:tc>
          <w:tcPr>
            <w:tcW w:w="3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0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2,283,631</w:t>
            </w:r>
          </w:p>
        </w:tc>
        <w:tc>
          <w:tcPr>
            <w:tcW w:w="24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2,283,631</w:t>
            </w:r>
          </w:p>
        </w:tc>
      </w:tr>
      <w:tr>
        <w:trPr>
          <w:trHeight w:val="180"/>
        </w:trPr>
        <w:tc>
          <w:tcPr>
            <w:tcW w:w="38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Junior subordinated debentures</w:t>
            </w: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8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88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w:t>
            </w:r>
          </w:p>
        </w:tc>
      </w:tr>
      <w:tr>
        <w:trPr>
          <w:trHeight w:val="180"/>
        </w:trPr>
        <w:tc>
          <w:tcPr>
            <w:tcW w:w="38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88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6,938</w:t>
            </w: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6,938</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6,938</w:t>
            </w:r>
          </w:p>
        </w:tc>
      </w:tr>
    </w:tbl>
    <w:p>
      <w:pPr>
        <w:spacing w:after="0" w:line="143" w:lineRule="exact"/>
        <w:rPr>
          <w:sz w:val="20"/>
          <w:szCs w:val="20"/>
          <w:color w:val="auto"/>
        </w:rPr>
      </w:pPr>
    </w:p>
    <w:p>
      <w:pPr>
        <w:jc w:val="both"/>
        <w:ind w:right="160" w:firstLine="588"/>
        <w:spacing w:after="0" w:line="259" w:lineRule="auto"/>
        <w:rPr>
          <w:sz w:val="20"/>
          <w:szCs w:val="20"/>
          <w:color w:val="auto"/>
        </w:rPr>
      </w:pPr>
      <w:r>
        <w:rPr>
          <w:rFonts w:ascii="Times New Roman" w:cs="Times New Roman" w:eastAsia="Times New Roman" w:hAnsi="Times New Roman"/>
          <w:sz w:val="16"/>
          <w:szCs w:val="16"/>
          <w:color w:val="auto"/>
        </w:rPr>
        <w:t>The following is a description of the valuation methodologies used to measure our Level 2 and Level 3 assets and liabilities recorded at fair value (under ASC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and for estimating fair value for financial instruments not recorded at fair value (under ASC Topic 825).</w:t>
      </w:r>
    </w:p>
    <w:p>
      <w:pPr>
        <w:spacing w:after="0" w:line="1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Interest-earning balances due from depository institutions. </w:t>
      </w:r>
      <w:r>
        <w:rPr>
          <w:rFonts w:ascii="Times New Roman" w:cs="Times New Roman" w:eastAsia="Times New Roman" w:hAnsi="Times New Roman"/>
          <w:sz w:val="14"/>
          <w:szCs w:val="14"/>
          <w:color w:val="auto"/>
        </w:rPr>
        <w:t>The carrying amount is assumed to be the fair value given the short-term nature of these deposits.</w:t>
      </w:r>
    </w:p>
    <w:p>
      <w:pPr>
        <w:spacing w:after="0" w:line="175" w:lineRule="exact"/>
        <w:rPr>
          <w:sz w:val="20"/>
          <w:szCs w:val="20"/>
          <w:color w:val="auto"/>
        </w:rPr>
      </w:pPr>
    </w:p>
    <w:p>
      <w:pPr>
        <w:ind w:firstLine="58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Investment securities available-for-sale. </w:t>
      </w:r>
      <w:r>
        <w:rPr>
          <w:rFonts w:ascii="Times New Roman" w:cs="Times New Roman" w:eastAsia="Times New Roman" w:hAnsi="Times New Roman"/>
          <w:sz w:val="16"/>
          <w:szCs w:val="16"/>
          <w:color w:val="auto"/>
        </w:rPr>
        <w:t>Securities available-for-sale are measured and carried at fair value on a recurring basis. In determining the fair value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securities available-for- sale, we obtain a report from a nationally recognized broker -dealer detailing the fair value of each investment security we hold as of the reporting date. The broker-dealer used observable market information to value our securities, with the primary source being a nationally recognized pricing service. We review the market prices provided by the broker-dealer for our securities for reasonableness based on our understanding of the marketplace and we consider any credit issues related to the securities. As we have not made any adjustments to the market quotes provided to us and they are based on observable market data, they have been categorized as Level 2 within the fair value hierarchy.</w:t>
      </w:r>
    </w:p>
    <w:p>
      <w:pPr>
        <w:spacing w:after="0" w:line="132" w:lineRule="exact"/>
        <w:rPr>
          <w:sz w:val="20"/>
          <w:szCs w:val="20"/>
          <w:color w:val="auto"/>
        </w:rPr>
      </w:pPr>
    </w:p>
    <w:p>
      <w:pPr>
        <w:ind w:right="12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Investment securities held-to-maturity. </w:t>
      </w:r>
      <w:r>
        <w:rPr>
          <w:rFonts w:ascii="Times New Roman" w:cs="Times New Roman" w:eastAsia="Times New Roman" w:hAnsi="Times New Roman"/>
          <w:sz w:val="16"/>
          <w:szCs w:val="16"/>
          <w:color w:val="auto"/>
        </w:rPr>
        <w:t>Securities held- to-maturity at carried at amortized cost. In determining the fair value of securities held-to-maturity,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use the same methodology as for securities available-for-sale and they have been categorized as Level 2 in the fair value hierarchy.</w:t>
      </w:r>
    </w:p>
    <w:p>
      <w:pPr>
        <w:spacing w:after="0" w:line="111" w:lineRule="exact"/>
        <w:rPr>
          <w:sz w:val="20"/>
          <w:szCs w:val="20"/>
          <w:color w:val="auto"/>
        </w:rPr>
      </w:pPr>
    </w:p>
    <w:p>
      <w:pPr>
        <w:ind w:right="60" w:firstLine="58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Total loans, net of allowance for credit losses. </w:t>
      </w:r>
      <w:r>
        <w:rPr>
          <w:rFonts w:ascii="Times New Roman" w:cs="Times New Roman" w:eastAsia="Times New Roman" w:hAnsi="Times New Roman"/>
          <w:sz w:val="16"/>
          <w:szCs w:val="16"/>
          <w:color w:val="auto"/>
        </w:rPr>
        <w:t>As loans and leases are not measured at fair value, the following discussion relates to estimating the fair value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disclosures under ASC Topic 825. Loan fair values represent an exit price based upon the income approach. The loans are valued on an individual basis, with consideration given to the loans' underlying characteristics, including account types, remaining terms (in months), annual interest rates or coupons, interest types, past delinquencies, timing of principal and interest payments, current market rates, loan to value ratios, loss exposures, and remaining balances. Our model utilizes a discounted cash flow calculation to estimate the fair value of the loans using assumptions for the coupon rates, remaining maturities, prepayment speeds, projected default probabilities, loses given defaults, and estimates of prevailing discount rates. The discounted cash flow approach models the credit losses directly in the projected cash flows. The model applies various assumptions regarding credit, interest, and prepayment risks for the loans based on loan types, payment types and fixed or variable classifications. We typically classify loans as Level 3 in the fair value hierarchy.</w:t>
      </w:r>
    </w:p>
    <w:p>
      <w:pPr>
        <w:spacing w:after="0" w:line="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34" w:name="page135"/>
    <w:bookmarkEnd w:id="134"/>
    <w:p>
      <w:pPr>
        <w:spacing w:after="0" w:line="133" w:lineRule="exact"/>
        <w:rPr>
          <w:sz w:val="20"/>
          <w:szCs w:val="20"/>
          <w:color w:val="auto"/>
        </w:rPr>
      </w:pPr>
    </w:p>
    <w:p>
      <w:pPr>
        <w:ind w:left="20" w:firstLine="58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Derivative assets and liabilities. </w:t>
      </w:r>
      <w:r>
        <w:rPr>
          <w:rFonts w:ascii="Times New Roman" w:cs="Times New Roman" w:eastAsia="Times New Roman" w:hAnsi="Times New Roman"/>
          <w:sz w:val="16"/>
          <w:szCs w:val="16"/>
          <w:color w:val="auto"/>
        </w:rPr>
        <w:t>Derivatives are carried at fair value on a recurring basis and primarily relate to forward contracts which we enter into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 interest rate risk. Our derivatives are principally traded in over-the -counter markets where quoted market prices are not readily available. Instead, the fair value is estimated using market observable inputs such as current forward contract rates, interest rate yield curves, volatilities and basis spreads. We also consider counter-party credit risk in valuing our derivatives. We typically classify our derivative assets and liabilities as Level 2 in the fair value hierarchy.</w:t>
      </w:r>
    </w:p>
    <w:p>
      <w:pPr>
        <w:spacing w:after="0" w:line="128" w:lineRule="exact"/>
        <w:rPr>
          <w:sz w:val="20"/>
          <w:szCs w:val="20"/>
          <w:color w:val="auto"/>
        </w:rPr>
      </w:pPr>
    </w:p>
    <w:p>
      <w:pPr>
        <w:ind w:left="20" w:right="60" w:firstLine="58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Interest-bearing deposits. </w:t>
      </w:r>
      <w:r>
        <w:rPr>
          <w:rFonts w:ascii="Times New Roman" w:cs="Times New Roman" w:eastAsia="Times New Roman" w:hAnsi="Times New Roman"/>
          <w:sz w:val="16"/>
          <w:szCs w:val="16"/>
          <w:color w:val="auto"/>
        </w:rPr>
        <w:t>Interest-bearing deposits are carried at historical cost. The fair value of deposits with no stated maturity date is equal to the amount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payable on demand as of the balance sheet date and considered Level 2. The fair value of time deposits is based on the discounted value of contractual cash flows and considered Level 2. The discount rate is estimated using the rates currently offered for deposits of similar remaining maturities. No value has been separately assigned to the Company's long-term relationships with its deposit customers, such as a core deposit intangible.</w:t>
      </w:r>
    </w:p>
    <w:p>
      <w:pPr>
        <w:spacing w:after="0" w:line="128" w:lineRule="exact"/>
        <w:rPr>
          <w:sz w:val="20"/>
          <w:szCs w:val="20"/>
          <w:color w:val="auto"/>
        </w:rPr>
      </w:pPr>
    </w:p>
    <w:p>
      <w:pPr>
        <w:jc w:val="both"/>
        <w:ind w:left="20" w:right="100" w:firstLine="58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Borrowings. </w:t>
      </w:r>
      <w:r>
        <w:rPr>
          <w:rFonts w:ascii="Times New Roman" w:cs="Times New Roman" w:eastAsia="Times New Roman" w:hAnsi="Times New Roman"/>
          <w:sz w:val="16"/>
          <w:szCs w:val="16"/>
          <w:color w:val="auto"/>
        </w:rPr>
        <w:t>Borrowings may include FHLB advances and other fixed-rate term borrowings. Borrowings are carried at amortized cost. The fair value of fixed-rate borrowings is estimated by discounting scheduled cash flows through the maturity date or call date, if applicable, using estimated market discount rates that reflect current rates offered for borrowings with similar remaining maturities and characteristics and are considered Level 2 in the fair value hierarchy.</w:t>
      </w:r>
    </w:p>
    <w:p>
      <w:pPr>
        <w:spacing w:after="0" w:line="128" w:lineRule="exact"/>
        <w:rPr>
          <w:sz w:val="20"/>
          <w:szCs w:val="20"/>
          <w:color w:val="auto"/>
        </w:rPr>
      </w:pPr>
    </w:p>
    <w:p>
      <w:pPr>
        <w:ind w:left="20" w:right="60" w:firstLine="588"/>
        <w:spacing w:after="0" w:line="243" w:lineRule="auto"/>
        <w:rPr>
          <w:sz w:val="20"/>
          <w:szCs w:val="20"/>
          <w:color w:val="auto"/>
        </w:rPr>
      </w:pPr>
      <w:r>
        <w:rPr>
          <w:rFonts w:ascii="Times New Roman" w:cs="Times New Roman" w:eastAsia="Times New Roman" w:hAnsi="Times New Roman"/>
          <w:sz w:val="16"/>
          <w:szCs w:val="16"/>
          <w:color w:val="auto"/>
        </w:rPr>
        <w:t>The fair value estimates presented herein are based on relevant market information and information about the financial instruments available to management as of December 31, 2024 and 2023. Changes in assumptions could significantly affect the estimates.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DERIVATIVE FINANCIAL INSTRUMENTS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Derivatives Not Designated as Hedging Instruments</w:t>
      </w:r>
    </w:p>
    <w:p>
      <w:pPr>
        <w:spacing w:after="0" w:line="156" w:lineRule="exact"/>
        <w:rPr>
          <w:sz w:val="20"/>
          <w:szCs w:val="20"/>
          <w:color w:val="auto"/>
        </w:rPr>
      </w:pPr>
    </w:p>
    <w:p>
      <w:pPr>
        <w:ind w:left="20" w:right="100" w:firstLine="588"/>
        <w:spacing w:after="0" w:line="281" w:lineRule="auto"/>
        <w:rPr>
          <w:sz w:val="20"/>
          <w:szCs w:val="20"/>
          <w:color w:val="auto"/>
        </w:rPr>
      </w:pPr>
      <w:r>
        <w:rPr>
          <w:rFonts w:ascii="Times New Roman" w:cs="Times New Roman" w:eastAsia="Times New Roman" w:hAnsi="Times New Roman"/>
          <w:sz w:val="14"/>
          <w:szCs w:val="14"/>
          <w:color w:val="auto"/>
        </w:rPr>
        <w:t>The Bank is exposed to certain risks relating to its ongoing business operations and utilizes interest rate swap agreements (“swaps”) as part of its asset/liability management strategy to help manage its interest rate risk position. As of December 31, 2024 the Bank has entered into 109 interest- rate swap agreements with customers with a notional amount totaling $363.4 million. The Bank then entered into identical offsetting swaps with counterparties. The swap agreements are not designated as hedging instruments. The purpose of entering into offsetting derivatives not designated as a hedging instrument is to provide the Bank a variable-rate loan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receivable and to provide the customer the financial effects of a fixed-rate loan without creating significant volatility in the Bank’s earnings.</w:t>
      </w:r>
    </w:p>
    <w:p>
      <w:pPr>
        <w:spacing w:after="0" w:line="188" w:lineRule="exact"/>
        <w:rPr>
          <w:sz w:val="20"/>
          <w:szCs w:val="20"/>
          <w:color w:val="auto"/>
        </w:rPr>
      </w:pPr>
    </w:p>
    <w:p>
      <w:pPr>
        <w:ind w:left="20" w:right="20" w:firstLine="432"/>
        <w:spacing w:after="0" w:line="238" w:lineRule="auto"/>
        <w:rPr>
          <w:sz w:val="20"/>
          <w:szCs w:val="20"/>
          <w:color w:val="auto"/>
        </w:rPr>
      </w:pPr>
      <w:r>
        <w:rPr>
          <w:rFonts w:ascii="Times New Roman" w:cs="Times New Roman" w:eastAsia="Times New Roman" w:hAnsi="Times New Roman"/>
          <w:sz w:val="16"/>
          <w:szCs w:val="16"/>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a counterparty bank in which the Bank pays the counterparty a fixed rate and the counterparty in return pays the Bank a variable rate. The net effect of the transaction allows the Bank to receive interest on the loan from the customer at a variable rate based on SOFR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58" w:lineRule="exact"/>
        <w:rPr>
          <w:sz w:val="20"/>
          <w:szCs w:val="20"/>
          <w:color w:val="auto"/>
        </w:rPr>
      </w:pPr>
    </w:p>
    <w:p>
      <w:pPr>
        <w:jc w:val="both"/>
        <w:ind w:left="20" w:right="140" w:firstLine="432"/>
        <w:spacing w:after="0" w:line="247" w:lineRule="auto"/>
        <w:rPr>
          <w:sz w:val="20"/>
          <w:szCs w:val="20"/>
          <w:color w:val="auto"/>
        </w:rPr>
      </w:pPr>
      <w:r>
        <w:rPr>
          <w:rFonts w:ascii="Times New Roman" w:cs="Times New Roman" w:eastAsia="Times New Roman" w:hAnsi="Times New Roman"/>
          <w:sz w:val="16"/>
          <w:szCs w:val="16"/>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Derivatives Designated as Hedging Instruments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Fair Value Hedges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135" w:name="page136"/>
    <w:bookmarkEnd w:id="135"/>
    <w:p>
      <w:pPr>
        <w:ind w:firstLine="432"/>
        <w:spacing w:after="0" w:line="278" w:lineRule="auto"/>
        <w:rPr>
          <w:sz w:val="20"/>
          <w:szCs w:val="20"/>
          <w:color w:val="auto"/>
        </w:rPr>
      </w:pPr>
      <w:r>
        <w:rPr>
          <w:rFonts w:ascii="Times New Roman" w:cs="Times New Roman" w:eastAsia="Times New Roman" w:hAnsi="Times New Roman"/>
          <w:sz w:val="14"/>
          <w:szCs w:val="14"/>
          <w:color w:val="auto"/>
        </w:rPr>
        <w:t xml:space="preserve">To manage interest rate risk on our AFS securities portfolio, we have entered into pay-fixed, receive-floating interest rate swap contracts to hedge against exposure to changes in the fair value of such securities resulting from changes in interest rates. We designate these interest rate swap contracts as fair value hedges that qualify for hedge accounting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We elected to account for the fair value hedges using the portfolio layer method in accordance with ASU 2022-01. We record the interest rate swaps in the line items "accrued interest receivable and other assets" and "other liabilities" on our consolidated balance sheet. For qualifying fair value hedges, both the changes in the fair value of the derivative and the portion of the fair value adjustments associated with the portfolio layer attributable to the hedged risk are recognized into earnings as they occur. Derivative amounts impacting earnings are recognized consistent with the classification of the hedged item in the line item "investment securities available for sale" as part of interest income, a component of consolidated net income.</w:t>
      </w:r>
    </w:p>
    <w:p>
      <w:pPr>
        <w:spacing w:after="0" w:line="135" w:lineRule="exact"/>
        <w:rPr>
          <w:sz w:val="20"/>
          <w:szCs w:val="20"/>
          <w:color w:val="auto"/>
        </w:rPr>
      </w:pPr>
    </w:p>
    <w:p>
      <w:pPr>
        <w:ind w:right="60" w:firstLine="432"/>
        <w:spacing w:after="0" w:line="243" w:lineRule="auto"/>
        <w:rPr>
          <w:sz w:val="20"/>
          <w:szCs w:val="20"/>
          <w:color w:val="auto"/>
        </w:rPr>
      </w:pPr>
      <w:r>
        <w:rPr>
          <w:rFonts w:ascii="Times New Roman" w:cs="Times New Roman" w:eastAsia="Times New Roman" w:hAnsi="Times New Roman"/>
          <w:sz w:val="16"/>
          <w:szCs w:val="16"/>
          <w:color w:val="auto"/>
        </w:rPr>
        <w:t>In June 2023, fair value hedging transactions were executed in which $1 billion notional pay -fixed interest rate swaps were consummated with maturities ranging from four to five years, wherein the Company pays a weighted average fixed rate of approximately 3.8% and receives daily SOFR. In December 2024, we terminated one of these swaps which had a notional value of $300 million, a maturity date of June 2027 and paid a fixed rate of 3.95%. The remaining $700 million notional pay-fixed interest rate swaps had a fair value which totaled $7.2 million and was reflected as an asset at December 31,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 Hedges</w:t>
      </w:r>
    </w:p>
    <w:p>
      <w:pPr>
        <w:spacing w:after="0" w:line="180" w:lineRule="exact"/>
        <w:rPr>
          <w:sz w:val="20"/>
          <w:szCs w:val="20"/>
          <w:color w:val="auto"/>
        </w:rPr>
      </w:pPr>
    </w:p>
    <w:p>
      <w:pPr>
        <w:ind w:firstLine="390"/>
        <w:spacing w:after="0" w:line="241" w:lineRule="auto"/>
        <w:rPr>
          <w:sz w:val="20"/>
          <w:szCs w:val="20"/>
          <w:color w:val="auto"/>
        </w:rPr>
      </w:pPr>
      <w:r>
        <w:rPr>
          <w:rFonts w:ascii="Times New Roman" w:cs="Times New Roman" w:eastAsia="Times New Roman" w:hAnsi="Times New Roman"/>
          <w:sz w:val="16"/>
          <w:szCs w:val="16"/>
          <w:color w:val="auto"/>
        </w:rPr>
        <w:t>To manage our interest rate risk associated with brokered CDs, FHLB advances or other fixed rate advances for specified periods, the Company enters into interest rate derivative contracts that are designated as qualifying cash flow hedges to hedge the exposure to variability in expected future cash flows attributable to changes in contractually specified interest rates. During the first quarter of 2024, $300 million of 3-month term brokered CDs were issued and cash flow hedging transactions were also executed in which $300 million notional pay-fixed interest rate swaps were consummated with maturities of three years, wherein the Company pays a weighted average fixed rate of approximately 4.2% and receives daily SOFR.</w:t>
      </w:r>
    </w:p>
    <w:p>
      <w:pPr>
        <w:spacing w:after="0" w:line="157" w:lineRule="exact"/>
        <w:rPr>
          <w:sz w:val="20"/>
          <w:szCs w:val="20"/>
          <w:color w:val="auto"/>
        </w:rPr>
      </w:pPr>
    </w:p>
    <w:p>
      <w:pPr>
        <w:ind w:firstLine="429"/>
        <w:spacing w:after="0" w:line="238" w:lineRule="auto"/>
        <w:rPr>
          <w:sz w:val="20"/>
          <w:szCs w:val="20"/>
          <w:color w:val="auto"/>
        </w:rPr>
      </w:pPr>
      <w:r>
        <w:rPr>
          <w:rFonts w:ascii="Times New Roman" w:cs="Times New Roman" w:eastAsia="Times New Roman" w:hAnsi="Times New Roman"/>
          <w:sz w:val="16"/>
          <w:szCs w:val="16"/>
          <w:color w:val="auto"/>
        </w:rPr>
        <w:t>To qualify for hedge accounting, a formal assessment is prepared to determine whether the hedging relationship, both at inception and on an ongoing basis, is expected to be highly effective in achieving offsetting cash flows attributable to the hedged risk during the term of the hedge if a cash flow hedge. At inception a statistical regression analysis is prepared to determine hedge effectiveness. At each reporting period thereafter, a statistical regression or qualitative analysis is performed to determine hedge effectiveness. If it is determined that hedge effectiveness has not been or will not continue to be highly effective, then hedge accounting ceases and any gain or loss in AOCI is recognized in earnings immediately. The cash flow hedges are recorded at fair value in other assets and other liabilities on the consolidated balance sheets with changes in fair value recorded in AOCI, net of tax. All related cash flows are reported in the operating activities section of the consolidated statement of cash flows. Amounts recorded to AOCI are reclassified into earnings in the same period in which the hedged asset or liability affects earnings and are presented in the same income statement line item as the earnings effect of the hedged asset or liability.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Balance Sheet Classification of Derivative Financial Instruments</w:t>
      </w:r>
    </w:p>
    <w:p>
      <w:pPr>
        <w:spacing w:after="0" w:line="96" w:lineRule="exact"/>
        <w:rPr>
          <w:sz w:val="20"/>
          <w:szCs w:val="20"/>
          <w:color w:val="auto"/>
        </w:rPr>
      </w:pPr>
    </w:p>
    <w:p>
      <w:pPr>
        <w:ind w:right="140" w:firstLine="588"/>
        <w:spacing w:after="0" w:line="259" w:lineRule="auto"/>
        <w:rPr>
          <w:sz w:val="20"/>
          <w:szCs w:val="20"/>
          <w:color w:val="auto"/>
        </w:rPr>
      </w:pPr>
      <w:r>
        <w:rPr>
          <w:rFonts w:ascii="Times New Roman" w:cs="Times New Roman" w:eastAsia="Times New Roman" w:hAnsi="Times New Roman"/>
          <w:sz w:val="16"/>
          <w:szCs w:val="16"/>
          <w:color w:val="auto"/>
        </w:rPr>
        <w:t>As of December 31, 2024 and 2023, the total notional amount of the Company’s swaps not designated as hedging instruments was $363.4 million and $394.4 million, respectively. The location of the asset and liability, and their respective fair values are summarized in the tables below.</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1" w:right="660" w:bottom="1440" w:gutter="0" w:footer="0" w:header="0"/>
        </w:sectPr>
      </w:pPr>
    </w:p>
    <w:bookmarkStart w:id="136" w:name="page137"/>
    <w:bookmarkEnd w:id="136"/>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Asset Derivatives</w:t>
            </w:r>
          </w:p>
        </w:tc>
        <w:tc>
          <w:tcPr>
            <w:tcW w:w="1600" w:type="dxa"/>
            <w:vAlign w:val="bottom"/>
            <w:gridSpan w:val="3"/>
          </w:tcPr>
          <w:p>
            <w:pPr>
              <w:jc w:val="center"/>
              <w:ind w:left="143"/>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21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Balance Sheet</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00" w:type="dxa"/>
            <w:vAlign w:val="bottom"/>
          </w:tcPr>
          <w:p>
            <w:pPr>
              <w:spacing w:after="0"/>
              <w:rPr>
                <w:sz w:val="15"/>
                <w:szCs w:val="15"/>
                <w:color w:val="auto"/>
              </w:rPr>
            </w:pPr>
          </w:p>
        </w:tc>
        <w:tc>
          <w:tcPr>
            <w:tcW w:w="6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81"/>
        </w:trPr>
        <w:tc>
          <w:tcPr>
            <w:tcW w:w="3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282"/>
              <w:spacing w:after="0" w:line="18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1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5"/>
              </w:rPr>
              <w:t>Location</w:t>
            </w:r>
          </w:p>
        </w:tc>
        <w:tc>
          <w:tcPr>
            <w:tcW w:w="220" w:type="dxa"/>
            <w:vAlign w:val="bottom"/>
          </w:tcPr>
          <w:p>
            <w:pPr>
              <w:spacing w:after="0"/>
              <w:rPr>
                <w:sz w:val="15"/>
                <w:szCs w:val="15"/>
                <w:color w:val="auto"/>
              </w:rPr>
            </w:pPr>
          </w:p>
        </w:tc>
        <w:tc>
          <w:tcPr>
            <w:tcW w:w="1120" w:type="dxa"/>
            <w:vAlign w:val="bottom"/>
            <w:gridSpan w:val="2"/>
          </w:tcPr>
          <w:p>
            <w:pPr>
              <w:jc w:val="right"/>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220" w:type="dxa"/>
            <w:vAlign w:val="bottom"/>
            <w:gridSpan w:val="2"/>
          </w:tcPr>
          <w:p>
            <w:pPr>
              <w:jc w:val="right"/>
              <w:ind w:right="282"/>
              <w:spacing w:after="0" w:line="18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360" w:type="dxa"/>
            <w:vAlign w:val="bottom"/>
          </w:tcPr>
          <w:p>
            <w:pPr>
              <w:jc w:val="center"/>
              <w:ind w:right="2"/>
              <w:spacing w:after="0" w:line="181" w:lineRule="exact"/>
              <w:rPr>
                <w:sz w:val="20"/>
                <w:szCs w:val="20"/>
                <w:color w:val="auto"/>
              </w:rPr>
            </w:pPr>
            <w:r>
              <w:rPr>
                <w:rFonts w:ascii="Times New Roman" w:cs="Times New Roman" w:eastAsia="Times New Roman" w:hAnsi="Times New Roman"/>
                <w:sz w:val="16"/>
                <w:szCs w:val="16"/>
                <w:b w:val="1"/>
                <w:bCs w:val="1"/>
                <w:color w:val="auto"/>
                <w:w w:val="99"/>
              </w:rPr>
              <w:t>Location</w:t>
            </w:r>
          </w:p>
        </w:tc>
        <w:tc>
          <w:tcPr>
            <w:tcW w:w="100" w:type="dxa"/>
            <w:vAlign w:val="bottom"/>
          </w:tcPr>
          <w:p>
            <w:pPr>
              <w:spacing w:after="0"/>
              <w:rPr>
                <w:sz w:val="15"/>
                <w:szCs w:val="15"/>
                <w:color w:val="auto"/>
              </w:rPr>
            </w:pPr>
          </w:p>
        </w:tc>
        <w:tc>
          <w:tcPr>
            <w:tcW w:w="60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center"/>
              <w:ind w:left="12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2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3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3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363,440</w:t>
            </w:r>
          </w:p>
        </w:tc>
        <w:tc>
          <w:tcPr>
            <w:tcW w:w="1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5"/>
                <w:szCs w:val="15"/>
                <w:color w:val="auto"/>
              </w:rPr>
            </w:pPr>
          </w:p>
        </w:tc>
        <w:tc>
          <w:tcPr>
            <w:tcW w:w="48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363,440</w:t>
            </w:r>
          </w:p>
        </w:tc>
        <w:tc>
          <w:tcPr>
            <w:tcW w:w="136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5"/>
              </w:rPr>
              <w:t>Other liabilities</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420" w:type="dxa"/>
            <w:vAlign w:val="bottom"/>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tcBorders>
              <w:left w:val="single" w:sz="8" w:color="CFF0FC"/>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38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4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700,000</w:t>
            </w:r>
          </w:p>
        </w:tc>
        <w:tc>
          <w:tcPr>
            <w:tcW w:w="11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220" w:type="dxa"/>
            <w:vAlign w:val="bottom"/>
            <w:tcBorders>
              <w:left w:val="single" w:sz="8" w:color="CFF0FC"/>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4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360" w:type="dxa"/>
            <w:vAlign w:val="bottom"/>
            <w:tcBorders>
              <w:right w:val="single" w:sz="8" w:color="CFF0FC"/>
            </w:tcBorders>
            <w:shd w:val="clear" w:color="auto" w:fill="CFF0FC"/>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5"/>
              </w:rPr>
              <w:t>Other liabilities</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4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22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36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5"/>
              </w:rPr>
              <w:t>Other liabilities</w:t>
            </w:r>
          </w:p>
        </w:tc>
        <w:tc>
          <w:tcPr>
            <w:tcW w:w="10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420" w:type="dxa"/>
            <w:vAlign w:val="bottom"/>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7,222</w:t>
            </w: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517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3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1600" w:type="dxa"/>
            <w:vAlign w:val="bottom"/>
            <w:gridSpan w:val="3"/>
          </w:tcPr>
          <w:p>
            <w:pPr>
              <w:jc w:val="center"/>
              <w:ind w:left="143"/>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21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Balance Sheet</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96"/>
              </w:rPr>
              <w:t>Balance Sheet</w:t>
            </w:r>
          </w:p>
        </w:tc>
        <w:tc>
          <w:tcPr>
            <w:tcW w:w="100" w:type="dxa"/>
            <w:vAlign w:val="bottom"/>
          </w:tcPr>
          <w:p>
            <w:pPr>
              <w:spacing w:after="0"/>
              <w:rPr>
                <w:sz w:val="15"/>
                <w:szCs w:val="15"/>
                <w:color w:val="auto"/>
              </w:rPr>
            </w:pPr>
          </w:p>
        </w:tc>
        <w:tc>
          <w:tcPr>
            <w:tcW w:w="60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181"/>
        </w:trPr>
        <w:tc>
          <w:tcPr>
            <w:tcW w:w="3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242"/>
              <w:spacing w:after="0" w:line="18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140" w:type="dxa"/>
            <w:vAlign w:val="bottom"/>
          </w:tcPr>
          <w:p>
            <w:pPr>
              <w:jc w:val="center"/>
              <w:ind w:left="42"/>
              <w:spacing w:after="0" w:line="181" w:lineRule="exact"/>
              <w:rPr>
                <w:sz w:val="20"/>
                <w:szCs w:val="20"/>
                <w:color w:val="auto"/>
              </w:rPr>
            </w:pPr>
            <w:r>
              <w:rPr>
                <w:rFonts w:ascii="Times New Roman" w:cs="Times New Roman" w:eastAsia="Times New Roman" w:hAnsi="Times New Roman"/>
                <w:sz w:val="16"/>
                <w:szCs w:val="16"/>
                <w:b w:val="1"/>
                <w:bCs w:val="1"/>
                <w:color w:val="auto"/>
                <w:w w:val="95"/>
              </w:rPr>
              <w:t>Location</w:t>
            </w:r>
          </w:p>
        </w:tc>
        <w:tc>
          <w:tcPr>
            <w:tcW w:w="220" w:type="dxa"/>
            <w:vAlign w:val="bottom"/>
          </w:tcPr>
          <w:p>
            <w:pPr>
              <w:spacing w:after="0"/>
              <w:rPr>
                <w:sz w:val="15"/>
                <w:szCs w:val="15"/>
                <w:color w:val="auto"/>
              </w:rPr>
            </w:pPr>
          </w:p>
        </w:tc>
        <w:tc>
          <w:tcPr>
            <w:tcW w:w="112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220" w:type="dxa"/>
            <w:vAlign w:val="bottom"/>
            <w:gridSpan w:val="2"/>
          </w:tcPr>
          <w:p>
            <w:pPr>
              <w:jc w:val="right"/>
              <w:ind w:right="202"/>
              <w:spacing w:after="0" w:line="18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3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5"/>
              </w:rPr>
              <w:t>Location</w:t>
            </w:r>
          </w:p>
        </w:tc>
        <w:tc>
          <w:tcPr>
            <w:tcW w:w="100" w:type="dxa"/>
            <w:vAlign w:val="bottom"/>
          </w:tcPr>
          <w:p>
            <w:pPr>
              <w:spacing w:after="0"/>
              <w:rPr>
                <w:sz w:val="15"/>
                <w:szCs w:val="15"/>
                <w:color w:val="auto"/>
              </w:rPr>
            </w:pPr>
          </w:p>
        </w:tc>
        <w:tc>
          <w:tcPr>
            <w:tcW w:w="60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90"/>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center"/>
              <w:ind w:left="14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394,359</w:t>
            </w:r>
          </w:p>
        </w:tc>
        <w:tc>
          <w:tcPr>
            <w:tcW w:w="1140" w:type="dxa"/>
            <w:vAlign w:val="bottom"/>
            <w:shd w:val="clear" w:color="auto" w:fill="CFF0FC"/>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220" w:type="dxa"/>
            <w:vAlign w:val="bottom"/>
            <w:tcBorders>
              <w:lef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4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394,359</w:t>
            </w:r>
          </w:p>
        </w:tc>
        <w:tc>
          <w:tcPr>
            <w:tcW w:w="1360" w:type="dxa"/>
            <w:vAlign w:val="bottom"/>
            <w:tcBorders>
              <w:right w:val="single" w:sz="8" w:color="CFF0FC"/>
            </w:tcBorders>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112</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36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1,000,000</w:t>
            </w:r>
          </w:p>
        </w:tc>
        <w:tc>
          <w:tcPr>
            <w:tcW w:w="114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6,938</w:t>
            </w:r>
          </w:p>
        </w:tc>
        <w:tc>
          <w:tcPr>
            <w:tcW w:w="0" w:type="dxa"/>
            <w:vAlign w:val="bottom"/>
          </w:tcPr>
          <w:p>
            <w:pPr>
              <w:spacing w:after="0"/>
              <w:rPr>
                <w:sz w:val="1"/>
                <w:szCs w:val="1"/>
                <w:color w:val="auto"/>
              </w:rPr>
            </w:pPr>
          </w:p>
        </w:tc>
      </w:tr>
      <w:tr>
        <w:trPr>
          <w:trHeight w:val="220"/>
        </w:trPr>
        <w:tc>
          <w:tcPr>
            <w:tcW w:w="3420" w:type="dxa"/>
            <w:vAlign w:val="bottom"/>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tcBorders>
              <w:lef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6,938</w:t>
            </w:r>
          </w:p>
        </w:tc>
        <w:tc>
          <w:tcPr>
            <w:tcW w:w="0" w:type="dxa"/>
            <w:vAlign w:val="bottom"/>
          </w:tcPr>
          <w:p>
            <w:pPr>
              <w:spacing w:after="0"/>
              <w:rPr>
                <w:sz w:val="1"/>
                <w:szCs w:val="1"/>
                <w:color w:val="auto"/>
              </w:rPr>
            </w:pPr>
          </w:p>
        </w:tc>
      </w:tr>
      <w:tr>
        <w:trPr>
          <w:trHeight w:val="442"/>
        </w:trPr>
        <w:tc>
          <w:tcPr>
            <w:tcW w:w="342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ind w:right="462"/>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34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3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7" w:name="page138"/>
    <w:bookmarkEnd w:id="137"/>
    <w:p>
      <w:pPr>
        <w:ind w:left="30"/>
        <w:spacing w:after="0"/>
        <w:rPr>
          <w:sz w:val="20"/>
          <w:szCs w:val="20"/>
          <w:color w:val="auto"/>
        </w:rPr>
      </w:pPr>
      <w:r>
        <w:rPr>
          <w:rFonts w:ascii="Times New Roman" w:cs="Times New Roman" w:eastAsia="Times New Roman" w:hAnsi="Times New Roman"/>
          <w:sz w:val="16"/>
          <w:szCs w:val="16"/>
          <w:b w:val="1"/>
          <w:bCs w:val="1"/>
          <w:i w:val="1"/>
          <w:iCs w:val="1"/>
          <w:color w:val="auto"/>
        </w:rPr>
        <w:t>The Effect of Derivative Financial Instruments on the Consolidated Statements of Earnings</w:t>
      </w:r>
    </w:p>
    <w:p>
      <w:pPr>
        <w:spacing w:after="0" w:line="156"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16"/>
          <w:szCs w:val="16"/>
          <w:color w:val="auto"/>
        </w:rPr>
        <w:t>The following table summarizes the effect of derivative financial instruments on the consolidated statements of earnings for the periods presented.</w:t>
      </w:r>
    </w:p>
    <w:p>
      <w:pPr>
        <w:spacing w:after="0" w:line="200" w:lineRule="exact"/>
        <w:rPr>
          <w:sz w:val="20"/>
          <w:szCs w:val="20"/>
          <w:color w:val="auto"/>
        </w:rPr>
      </w:pPr>
    </w:p>
    <w:tbl>
      <w:tblPr>
        <w:tblLayout w:type="fixed"/>
        <w:tblInd w:w="30" w:type="dxa"/>
        <w:tblCellMar>
          <w:top w:w="0" w:type="dxa"/>
          <w:left w:w="0" w:type="dxa"/>
          <w:bottom w:w="0" w:type="dxa"/>
          <w:right w:w="0" w:type="dxa"/>
        </w:tblCellMar>
      </w:tblPr>
      <w:tr>
        <w:trPr>
          <w:trHeight w:val="156"/>
        </w:trPr>
        <w:tc>
          <w:tcPr>
            <w:tcW w:w="2860" w:type="dxa"/>
            <w:vAlign w:val="bottom"/>
          </w:tcPr>
          <w:p>
            <w:pPr>
              <w:spacing w:after="0"/>
              <w:rPr>
                <w:sz w:val="13"/>
                <w:szCs w:val="13"/>
                <w:color w:val="auto"/>
              </w:rPr>
            </w:pPr>
          </w:p>
        </w:tc>
        <w:tc>
          <w:tcPr>
            <w:tcW w:w="2980" w:type="dxa"/>
            <w:vAlign w:val="bottom"/>
            <w:gridSpan w:val="6"/>
          </w:tcPr>
          <w:p>
            <w:pPr>
              <w:jc w:val="center"/>
              <w:ind w:left="1054"/>
              <w:spacing w:after="0"/>
              <w:rPr>
                <w:sz w:val="20"/>
                <w:szCs w:val="20"/>
                <w:color w:val="auto"/>
              </w:rPr>
            </w:pPr>
            <w:r>
              <w:rPr>
                <w:rFonts w:ascii="Times New Roman" w:cs="Times New Roman" w:eastAsia="Times New Roman" w:hAnsi="Times New Roman"/>
                <w:sz w:val="13"/>
                <w:szCs w:val="13"/>
                <w:b w:val="1"/>
                <w:bCs w:val="1"/>
                <w:color w:val="auto"/>
              </w:rPr>
              <w:t>Location of Gain Recognized in</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11"/>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Amount of Gain Recognized in</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60" w:type="dxa"/>
            <w:vAlign w:val="bottom"/>
          </w:tcPr>
          <w:p>
            <w:pPr>
              <w:spacing w:after="0"/>
              <w:rPr>
                <w:sz w:val="13"/>
                <w:szCs w:val="13"/>
                <w:color w:val="auto"/>
              </w:rPr>
            </w:pPr>
          </w:p>
        </w:tc>
        <w:tc>
          <w:tcPr>
            <w:tcW w:w="3840" w:type="dxa"/>
            <w:vAlign w:val="bottom"/>
            <w:gridSpan w:val="8"/>
          </w:tcPr>
          <w:p>
            <w:pPr>
              <w:jc w:val="center"/>
              <w:ind w:left="234"/>
              <w:spacing w:after="0"/>
              <w:rPr>
                <w:sz w:val="20"/>
                <w:szCs w:val="20"/>
                <w:color w:val="auto"/>
              </w:rPr>
            </w:pPr>
            <w:r>
              <w:rPr>
                <w:rFonts w:ascii="Times New Roman" w:cs="Times New Roman" w:eastAsia="Times New Roman" w:hAnsi="Times New Roman"/>
                <w:sz w:val="13"/>
                <w:szCs w:val="13"/>
                <w:b w:val="1"/>
                <w:bCs w:val="1"/>
                <w:color w:val="auto"/>
              </w:rPr>
              <w:t>Income on Derivative Instruments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11"/>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Income on Derivative Instruments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gridSpan w:val="9"/>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56"/>
        </w:trPr>
        <w:tc>
          <w:tcPr>
            <w:tcW w:w="4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Not Designated as Hedging Instruments:</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0" w:type="dxa"/>
            <w:vAlign w:val="bottom"/>
            <w:gridSpan w:val="8"/>
            <w:shd w:val="clear" w:color="auto" w:fill="CFF0FC"/>
          </w:tcPr>
          <w:p>
            <w:pPr>
              <w:jc w:val="center"/>
              <w:ind w:right="4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1620" w:type="dxa"/>
            <w:vAlign w:val="bottom"/>
          </w:tcPr>
          <w:p>
            <w:pPr>
              <w:spacing w:after="0"/>
              <w:rPr>
                <w:sz w:val="13"/>
                <w:szCs w:val="13"/>
                <w:color w:val="auto"/>
              </w:rPr>
            </w:pPr>
          </w:p>
        </w:tc>
        <w:tc>
          <w:tcPr>
            <w:tcW w:w="1020" w:type="dxa"/>
            <w:vAlign w:val="bottom"/>
            <w:gridSpan w:val="3"/>
          </w:tcPr>
          <w:p>
            <w:pPr>
              <w:jc w:val="center"/>
              <w:ind w:right="74"/>
              <w:spacing w:after="0"/>
              <w:rPr>
                <w:sz w:val="20"/>
                <w:szCs w:val="20"/>
                <w:color w:val="auto"/>
              </w:rPr>
            </w:pPr>
            <w:r>
              <w:rPr>
                <w:rFonts w:ascii="Times New Roman" w:cs="Times New Roman" w:eastAsia="Times New Roman" w:hAnsi="Times New Roman"/>
                <w:sz w:val="13"/>
                <w:szCs w:val="13"/>
                <w:color w:val="auto"/>
              </w:rPr>
              <w:t>Other income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3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2860" w:type="dxa"/>
            <w:vAlign w:val="bottom"/>
            <w:shd w:val="clear" w:color="auto" w:fill="CFF0FC"/>
          </w:tcPr>
          <w:p>
            <w:pPr>
              <w:ind w:left="18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211</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3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36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ind w:left="50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323"/>
        </w:trPr>
        <w:tc>
          <w:tcPr>
            <w:tcW w:w="2860" w:type="dxa"/>
            <w:vAlign w:val="bottom"/>
            <w:tcBorders>
              <w:top w:val="single" w:sz="8" w:color="CFF0FC"/>
            </w:tcBorders>
          </w:tcPr>
          <w:p>
            <w:pPr>
              <w:spacing w:after="0"/>
              <w:rPr>
                <w:sz w:val="24"/>
                <w:szCs w:val="24"/>
                <w:color w:val="auto"/>
              </w:rPr>
            </w:pPr>
          </w:p>
        </w:tc>
        <w:tc>
          <w:tcPr>
            <w:tcW w:w="2040" w:type="dxa"/>
            <w:vAlign w:val="bottom"/>
            <w:tcBorders>
              <w:top w:val="single" w:sz="8" w:color="CFF0FC"/>
            </w:tcBorders>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Location of Gain Recognized</w:t>
            </w:r>
          </w:p>
        </w:tc>
        <w:tc>
          <w:tcPr>
            <w:tcW w:w="6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56"/>
        </w:trPr>
        <w:tc>
          <w:tcPr>
            <w:tcW w:w="2860" w:type="dxa"/>
            <w:vAlign w:val="bottom"/>
          </w:tcPr>
          <w:p>
            <w:pPr>
              <w:spacing w:after="0"/>
              <w:rPr>
                <w:sz w:val="13"/>
                <w:szCs w:val="13"/>
                <w:color w:val="auto"/>
              </w:rPr>
            </w:pPr>
          </w:p>
        </w:tc>
        <w:tc>
          <w:tcPr>
            <w:tcW w:w="1620" w:type="dxa"/>
            <w:vAlign w:val="bottom"/>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w w:val="91"/>
              </w:rPr>
              <w:t>in</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8"/>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Amount of Gains (Losses) Recognized in</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60" w:type="dxa"/>
            <w:vAlign w:val="bottom"/>
          </w:tcPr>
          <w:p>
            <w:pPr>
              <w:spacing w:after="0"/>
              <w:rPr>
                <w:sz w:val="13"/>
                <w:szCs w:val="13"/>
                <w:color w:val="auto"/>
              </w:rPr>
            </w:pPr>
          </w:p>
        </w:tc>
        <w:tc>
          <w:tcPr>
            <w:tcW w:w="162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Income on Derivative</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11"/>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OCI Impact on Derivatives-Gains (Losses)</w:t>
            </w:r>
          </w:p>
        </w:tc>
      </w:tr>
      <w:tr>
        <w:trPr>
          <w:trHeight w:val="156"/>
        </w:trPr>
        <w:tc>
          <w:tcPr>
            <w:tcW w:w="2860" w:type="dxa"/>
            <w:vAlign w:val="bottom"/>
          </w:tcPr>
          <w:p>
            <w:pPr>
              <w:spacing w:after="0"/>
              <w:rPr>
                <w:sz w:val="13"/>
                <w:szCs w:val="13"/>
                <w:color w:val="auto"/>
              </w:rPr>
            </w:pPr>
          </w:p>
        </w:tc>
        <w:tc>
          <w:tcPr>
            <w:tcW w:w="162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8"/>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 on Derivative Instruments</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recorded in OCI</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4"/>
        </w:trPr>
        <w:tc>
          <w:tcPr>
            <w:tcW w:w="2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c>
          <w:tcPr>
            <w:tcW w:w="800" w:type="dxa"/>
            <w:vAlign w:val="bottom"/>
            <w:gridSpan w:val="3"/>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74"/>
        </w:trPr>
        <w:tc>
          <w:tcPr>
            <w:tcW w:w="2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7"/>
          </w:tcPr>
          <w:p>
            <w:pPr>
              <w:jc w:val="center"/>
              <w:ind w:left="37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as Hedging Instruments:</w:t>
            </w:r>
          </w:p>
        </w:tc>
        <w:tc>
          <w:tcPr>
            <w:tcW w:w="1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Fair value hedges: interest rate swaps</w:t>
            </w:r>
          </w:p>
        </w:tc>
        <w:tc>
          <w:tcPr>
            <w:tcW w:w="1620" w:type="dxa"/>
            <w:vAlign w:val="bottom"/>
          </w:tcPr>
          <w:p>
            <w:pPr>
              <w:jc w:val="center"/>
              <w:ind w:left="174"/>
              <w:spacing w:after="0"/>
              <w:rPr>
                <w:sz w:val="20"/>
                <w:szCs w:val="20"/>
                <w:color w:val="auto"/>
              </w:rPr>
            </w:pPr>
            <w:r>
              <w:rPr>
                <w:rFonts w:ascii="Times New Roman" w:cs="Times New Roman" w:eastAsia="Times New Roman" w:hAnsi="Times New Roman"/>
                <w:sz w:val="13"/>
                <w:szCs w:val="13"/>
                <w:color w:val="auto"/>
              </w:rPr>
              <w:t>Interest income</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8,210</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15,619</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(4,868)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2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Cash flow hedges: interest rate swaps</w:t>
            </w:r>
          </w:p>
        </w:tc>
        <w:tc>
          <w:tcPr>
            <w:tcW w:w="1620" w:type="dxa"/>
            <w:vAlign w:val="bottom"/>
            <w:shd w:val="clear" w:color="auto" w:fill="CFF0FC"/>
          </w:tcPr>
          <w:p>
            <w:pPr>
              <w:jc w:val="center"/>
              <w:ind w:left="174"/>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3,390</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8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620" w:type="dxa"/>
            <w:vAlign w:val="bottom"/>
          </w:tcPr>
          <w:p>
            <w:pPr>
              <w:spacing w:after="0"/>
              <w:rPr>
                <w:sz w:val="13"/>
                <w:szCs w:val="13"/>
                <w:color w:val="auto"/>
              </w:rPr>
            </w:pPr>
          </w:p>
        </w:tc>
        <w:tc>
          <w:tcPr>
            <w:tcW w:w="42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16,795</w:t>
            </w:r>
          </w:p>
        </w:tc>
        <w:tc>
          <w:tcPr>
            <w:tcW w:w="3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8,210</w:t>
            </w:r>
          </w:p>
        </w:tc>
        <w:tc>
          <w:tcPr>
            <w:tcW w:w="220" w:type="dxa"/>
            <w:vAlign w:val="bottom"/>
          </w:tcPr>
          <w:p>
            <w:pPr>
              <w:spacing w:after="0"/>
              <w:rPr>
                <w:sz w:val="13"/>
                <w:szCs w:val="13"/>
                <w:color w:val="auto"/>
              </w:rPr>
            </w:pP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19,009</w:t>
            </w:r>
          </w:p>
        </w:tc>
        <w:tc>
          <w:tcPr>
            <w:tcW w:w="52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 xml:space="preserve">(4,868 </w:t>
            </w:r>
            <w:r>
              <w:rPr>
                <w:rFonts w:ascii="Times New Roman" w:cs="Times New Roman" w:eastAsia="Times New Roman" w:hAnsi="Times New Roman"/>
                <w:sz w:val="15"/>
                <w:szCs w:val="15"/>
                <w:color w:val="auto"/>
                <w:vertAlign w:val="subscript"/>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ind w:left="50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2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5" w:lineRule="exact"/>
        <w:rPr>
          <w:sz w:val="20"/>
          <w:szCs w:val="20"/>
          <w:color w:val="auto"/>
        </w:rPr>
      </w:pPr>
    </w:p>
    <w:p>
      <w:pPr>
        <w:ind w:left="230" w:hanging="230"/>
        <w:spacing w:after="0"/>
        <w:tabs>
          <w:tab w:leader="none" w:pos="23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OTHER COMPREHENSIVE INCOME (LOSS) </w:t>
      </w:r>
      <w:r>
        <w:rPr>
          <w:rFonts w:ascii="Times New Roman" w:cs="Times New Roman" w:eastAsia="Times New Roman" w:hAnsi="Times New Roman"/>
          <w:sz w:val="16"/>
          <w:szCs w:val="16"/>
          <w:color w:val="auto"/>
        </w:rPr>
        <w:t>The tables below provide a summary of the components of OCI for the periods presented.</w:t>
      </w:r>
    </w:p>
    <w:p>
      <w:pPr>
        <w:sectPr>
          <w:pgSz w:w="11900" w:h="16840" w:orient="portrait"/>
          <w:cols w:equalWidth="0" w:num="1">
            <w:col w:w="10590"/>
          </w:cols>
          <w:pgMar w:left="630" w:top="1417"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3"/>
          <w:szCs w:val="13"/>
          <w:color w:val="auto"/>
        </w:rPr>
        <w:t>Investment securities:</w:t>
      </w:r>
    </w:p>
    <w:p>
      <w:pPr>
        <w:spacing w:after="0" w:line="21" w:lineRule="exact"/>
        <w:rPr>
          <w:sz w:val="20"/>
          <w:szCs w:val="20"/>
          <w:color w:val="auto"/>
        </w:rPr>
      </w:pPr>
    </w:p>
    <w:p>
      <w:pPr>
        <w:ind w:left="210" w:right="80"/>
        <w:spacing w:after="0" w:line="250" w:lineRule="auto"/>
        <w:rPr>
          <w:sz w:val="20"/>
          <w:szCs w:val="20"/>
          <w:color w:val="auto"/>
        </w:rPr>
      </w:pPr>
      <w:r>
        <w:rPr>
          <w:rFonts w:ascii="Times New Roman" w:cs="Times New Roman" w:eastAsia="Times New Roman" w:hAnsi="Times New Roman"/>
          <w:sz w:val="13"/>
          <w:szCs w:val="13"/>
          <w:color w:val="auto"/>
        </w:rPr>
        <w:t>Net change in fair value recorded in accumulated OCI</w:t>
      </w:r>
    </w:p>
    <w:p>
      <w:pPr>
        <w:spacing w:after="0" w:line="1" w:lineRule="exact"/>
        <w:rPr>
          <w:sz w:val="20"/>
          <w:szCs w:val="20"/>
          <w:color w:val="auto"/>
        </w:rPr>
      </w:pPr>
    </w:p>
    <w:p>
      <w:pPr>
        <w:ind w:left="210" w:right="20"/>
        <w:spacing w:after="0" w:line="250" w:lineRule="auto"/>
        <w:rPr>
          <w:sz w:val="20"/>
          <w:szCs w:val="20"/>
          <w:color w:val="auto"/>
        </w:rPr>
      </w:pPr>
      <w:r>
        <w:rPr>
          <w:rFonts w:ascii="Times New Roman" w:cs="Times New Roman" w:eastAsia="Times New Roman" w:hAnsi="Times New Roman"/>
          <w:sz w:val="13"/>
          <w:szCs w:val="13"/>
          <w:color w:val="auto"/>
        </w:rPr>
        <w:t>Net realized loss on investment securities reclassified into earnings Amortization of net unrealized losses on securities transferred from available-for-sale to held-to-maturity</w:t>
      </w:r>
    </w:p>
    <w:p>
      <w:pPr>
        <w:spacing w:after="0" w:line="2" w:lineRule="exact"/>
        <w:rPr>
          <w:sz w:val="20"/>
          <w:szCs w:val="20"/>
          <w:color w:val="auto"/>
        </w:rPr>
      </w:pPr>
    </w:p>
    <w:p>
      <w:pPr>
        <w:ind w:left="50" w:right="340"/>
        <w:spacing w:after="0" w:line="250" w:lineRule="auto"/>
        <w:rPr>
          <w:sz w:val="20"/>
          <w:szCs w:val="20"/>
          <w:color w:val="auto"/>
        </w:rPr>
      </w:pPr>
      <w:r>
        <w:rPr>
          <w:rFonts w:ascii="Times New Roman" w:cs="Times New Roman" w:eastAsia="Times New Roman" w:hAnsi="Times New Roman"/>
          <w:sz w:val="13"/>
          <w:szCs w:val="13"/>
          <w:color w:val="auto"/>
        </w:rPr>
        <w:t>Derivatives designated as hedging instruments:</w:t>
      </w:r>
    </w:p>
    <w:p>
      <w:pPr>
        <w:spacing w:after="0" w:line="1" w:lineRule="exact"/>
        <w:rPr>
          <w:sz w:val="20"/>
          <w:szCs w:val="20"/>
          <w:color w:val="auto"/>
        </w:rPr>
      </w:pPr>
    </w:p>
    <w:p>
      <w:pPr>
        <w:ind w:left="210"/>
        <w:spacing w:after="0"/>
        <w:rPr>
          <w:sz w:val="20"/>
          <w:szCs w:val="20"/>
          <w:color w:val="auto"/>
        </w:rPr>
      </w:pPr>
      <w:r>
        <w:rPr>
          <w:rFonts w:ascii="Times New Roman" w:cs="Times New Roman" w:eastAsia="Times New Roman" w:hAnsi="Times New Roman"/>
          <w:sz w:val="13"/>
          <w:szCs w:val="13"/>
          <w:color w:val="auto"/>
        </w:rPr>
        <w:t>Fair value hedges:</w:t>
      </w:r>
    </w:p>
    <w:p>
      <w:pPr>
        <w:spacing w:after="0" w:line="7" w:lineRule="exact"/>
        <w:rPr>
          <w:sz w:val="20"/>
          <w:szCs w:val="20"/>
          <w:color w:val="auto"/>
        </w:rPr>
      </w:pPr>
    </w:p>
    <w:p>
      <w:pPr>
        <w:ind w:left="290"/>
        <w:spacing w:after="0" w:line="250" w:lineRule="auto"/>
        <w:rPr>
          <w:sz w:val="20"/>
          <w:szCs w:val="20"/>
          <w:color w:val="auto"/>
        </w:rPr>
      </w:pPr>
      <w:r>
        <w:rPr>
          <w:rFonts w:ascii="Times New Roman" w:cs="Times New Roman" w:eastAsia="Times New Roman" w:hAnsi="Times New Roman"/>
          <w:sz w:val="13"/>
          <w:szCs w:val="13"/>
          <w:color w:val="auto"/>
        </w:rPr>
        <w:t>Net change in fair value recorded in accumulated OCI</w:t>
      </w:r>
    </w:p>
    <w:p>
      <w:pPr>
        <w:spacing w:after="0" w:line="1" w:lineRule="exact"/>
        <w:rPr>
          <w:sz w:val="20"/>
          <w:szCs w:val="20"/>
          <w:color w:val="auto"/>
        </w:rPr>
      </w:pPr>
    </w:p>
    <w:p>
      <w:pPr>
        <w:ind w:left="210"/>
        <w:spacing w:after="0"/>
        <w:rPr>
          <w:sz w:val="20"/>
          <w:szCs w:val="20"/>
          <w:color w:val="auto"/>
        </w:rPr>
      </w:pPr>
      <w:r>
        <w:rPr>
          <w:rFonts w:ascii="Times New Roman" w:cs="Times New Roman" w:eastAsia="Times New Roman" w:hAnsi="Times New Roman"/>
          <w:sz w:val="13"/>
          <w:szCs w:val="13"/>
          <w:color w:val="auto"/>
        </w:rPr>
        <w:t>Cash flow hedges:</w:t>
      </w:r>
    </w:p>
    <w:p>
      <w:pPr>
        <w:spacing w:after="0" w:line="7" w:lineRule="exact"/>
        <w:rPr>
          <w:sz w:val="20"/>
          <w:szCs w:val="20"/>
          <w:color w:val="auto"/>
        </w:rPr>
      </w:pPr>
    </w:p>
    <w:p>
      <w:pPr>
        <w:ind w:left="290"/>
        <w:spacing w:after="0" w:line="263" w:lineRule="auto"/>
        <w:rPr>
          <w:sz w:val="20"/>
          <w:szCs w:val="20"/>
          <w:color w:val="auto"/>
        </w:rPr>
      </w:pPr>
      <w:r>
        <w:rPr>
          <w:rFonts w:ascii="Times New Roman" w:cs="Times New Roman" w:eastAsia="Times New Roman" w:hAnsi="Times New Roman"/>
          <w:sz w:val="13"/>
          <w:szCs w:val="13"/>
          <w:color w:val="auto"/>
        </w:rPr>
        <w:t>Net change in fair value recorded in accumulated OCI</w:t>
      </w:r>
    </w:p>
    <w:p>
      <w:pPr>
        <w:spacing w:after="0" w:line="6" w:lineRule="exact"/>
        <w:rPr>
          <w:sz w:val="20"/>
          <w:szCs w:val="20"/>
          <w:color w:val="auto"/>
        </w:rPr>
      </w:pPr>
    </w:p>
    <w:p>
      <w:pPr>
        <w:ind w:left="530"/>
        <w:spacing w:after="0"/>
        <w:rPr>
          <w:sz w:val="20"/>
          <w:szCs w:val="20"/>
          <w:color w:val="auto"/>
        </w:rPr>
      </w:pPr>
      <w:r>
        <w:rPr>
          <w:rFonts w:ascii="Times New Roman" w:cs="Times New Roman" w:eastAsia="Times New Roman" w:hAnsi="Times New Roman"/>
          <w:sz w:val="13"/>
          <w:szCs w:val="13"/>
          <w:color w:val="auto"/>
        </w:rPr>
        <w:t>Net change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8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9"/>
              </w:rPr>
              <w:t>Before-tax</w:t>
            </w: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Tax effect</w:t>
            </w:r>
          </w:p>
        </w:tc>
        <w:tc>
          <w:tcPr>
            <w:tcW w:w="10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After-tax</w:t>
            </w:r>
          </w:p>
        </w:tc>
        <w:tc>
          <w:tcPr>
            <w:tcW w:w="860" w:type="dxa"/>
            <w:vAlign w:val="bottom"/>
            <w:gridSpan w:val="3"/>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10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7"/>
              </w:rPr>
              <w:t>Tax effect</w:t>
            </w: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After-tax</w:t>
            </w:r>
          </w:p>
        </w:tc>
        <w:tc>
          <w:tcPr>
            <w:tcW w:w="12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80" w:type="dxa"/>
            <w:vAlign w:val="bottom"/>
          </w:tcPr>
          <w:p>
            <w:pPr>
              <w:spacing w:after="0"/>
              <w:rPr>
                <w:sz w:val="13"/>
                <w:szCs w:val="13"/>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7"/>
              </w:rPr>
              <w:t>Tax effect</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After-tax</w:t>
            </w:r>
          </w:p>
        </w:tc>
      </w:tr>
      <w:tr>
        <w:trPr>
          <w:trHeight w:val="174"/>
        </w:trPr>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gridSpan w:val="5"/>
          </w:tcPr>
          <w:p>
            <w:pPr>
              <w:jc w:val="right"/>
              <w:ind w:right="13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68"/>
        </w:trPr>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(26,274)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(18,506)</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50,331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(14,880)</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35,451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(498,759)</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147,451</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(351,308)</w:t>
            </w:r>
          </w:p>
        </w:tc>
      </w:tr>
      <w:tr>
        <w:trPr>
          <w:trHeight w:val="312"/>
        </w:trPr>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(8,372)</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19,945</w:t>
            </w:r>
          </w:p>
        </w:tc>
        <w:tc>
          <w:tcPr>
            <w:tcW w:w="180" w:type="dxa"/>
            <w:vAlign w:val="bottom"/>
          </w:tcPr>
          <w:p>
            <w:pPr>
              <w:spacing w:after="0"/>
              <w:rPr>
                <w:sz w:val="24"/>
                <w:szCs w:val="24"/>
                <w:color w:val="auto"/>
              </w:rPr>
            </w:pPr>
          </w:p>
        </w:tc>
        <w:tc>
          <w:tcPr>
            <w:tcW w:w="6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468"/>
        </w:trPr>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(203 )</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(270 )</w:t>
            </w: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(201 )</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40" w:type="dxa"/>
            <w:vAlign w:val="bottom"/>
          </w:tcPr>
          <w:p>
            <w:pPr>
              <w:spacing w:after="0"/>
              <w:rPr>
                <w:sz w:val="24"/>
                <w:szCs w:val="24"/>
                <w:color w:val="auto"/>
              </w:rPr>
            </w:pPr>
          </w:p>
        </w:tc>
      </w:tr>
      <w:tr>
        <w:trPr>
          <w:trHeight w:val="780"/>
        </w:trPr>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14,160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(4,212 </w:t>
            </w:r>
            <w:r>
              <w:rPr>
                <w:rFonts w:ascii="Times New Roman" w:cs="Times New Roman" w:eastAsia="Times New Roman" w:hAnsi="Times New Roman"/>
                <w:sz w:val="26"/>
                <w:szCs w:val="26"/>
                <w:color w:val="auto"/>
                <w:vertAlign w:val="subscript"/>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(6,938)</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(4,868)</w:t>
            </w:r>
          </w:p>
        </w:tc>
        <w:tc>
          <w:tcPr>
            <w:tcW w:w="1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453"/>
        </w:trPr>
        <w:tc>
          <w:tcPr>
            <w:tcW w:w="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(517 )</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(364 )</w:t>
            </w:r>
          </w:p>
        </w:tc>
        <w:tc>
          <w:tcPr>
            <w:tcW w:w="180" w:type="dxa"/>
            <w:vAlign w:val="bottom"/>
          </w:tcPr>
          <w:p>
            <w:pPr>
              <w:spacing w:after="0"/>
              <w:rPr>
                <w:sz w:val="24"/>
                <w:szCs w:val="24"/>
                <w:color w:val="auto"/>
              </w:rPr>
            </w:pPr>
          </w:p>
        </w:tc>
        <w:tc>
          <w:tcPr>
            <w:tcW w:w="6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16,371</w:t>
            </w:r>
          </w:p>
        </w:tc>
        <w:tc>
          <w:tcPr>
            <w:tcW w:w="220" w:type="dxa"/>
            <w:vAlign w:val="bottom"/>
          </w:tcPr>
          <w:p>
            <w:pPr>
              <w:spacing w:after="0"/>
              <w:rPr>
                <w:sz w:val="14"/>
                <w:szCs w:val="14"/>
                <w:color w:val="auto"/>
              </w:rPr>
            </w:pPr>
          </w:p>
        </w:tc>
        <w:tc>
          <w:tcPr>
            <w:tcW w:w="1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0"/>
                <w:szCs w:val="10"/>
                <w:color w:val="auto"/>
              </w:rPr>
              <w:t xml:space="preserve">(4,866 </w:t>
            </w:r>
            <w:r>
              <w:rPr>
                <w:rFonts w:ascii="Times New Roman" w:cs="Times New Roman" w:eastAsia="Times New Roman" w:hAnsi="Times New Roman"/>
                <w:sz w:val="17"/>
                <w:szCs w:val="17"/>
                <w:color w:val="auto"/>
                <w:vertAlign w:val="subscript"/>
              </w:rPr>
              <w:t>)</w:t>
            </w:r>
          </w:p>
        </w:tc>
        <w:tc>
          <w:tcPr>
            <w:tcW w:w="1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3"/>
                <w:szCs w:val="13"/>
                <w:color w:val="auto"/>
              </w:rPr>
              <w:t>11,505</w:t>
            </w:r>
          </w:p>
        </w:tc>
        <w:tc>
          <w:tcPr>
            <w:tcW w:w="180" w:type="dxa"/>
            <w:vAlign w:val="bottom"/>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34"/>
              <w:spacing w:after="0" w:line="148" w:lineRule="exact"/>
              <w:rPr>
                <w:sz w:val="20"/>
                <w:szCs w:val="20"/>
                <w:color w:val="auto"/>
              </w:rPr>
            </w:pPr>
            <w:r>
              <w:rPr>
                <w:rFonts w:ascii="Times New Roman" w:cs="Times New Roman" w:eastAsia="Times New Roman" w:hAnsi="Times New Roman"/>
                <w:sz w:val="13"/>
                <w:szCs w:val="13"/>
                <w:color w:val="auto"/>
              </w:rPr>
              <w:t>44,306</w:t>
            </w:r>
          </w:p>
        </w:tc>
        <w:tc>
          <w:tcPr>
            <w:tcW w:w="1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0"/>
                <w:szCs w:val="10"/>
                <w:color w:val="auto"/>
              </w:rPr>
              <w:t>(13,079</w:t>
            </w:r>
            <w:r>
              <w:rPr>
                <w:rFonts w:ascii="Times New Roman" w:cs="Times New Roman" w:eastAsia="Times New Roman" w:hAnsi="Times New Roman"/>
                <w:sz w:val="17"/>
                <w:szCs w:val="17"/>
                <w:color w:val="auto"/>
                <w:vertAlign w:val="subscript"/>
              </w:rPr>
              <w:t>)</w:t>
            </w:r>
          </w:p>
        </w:tc>
        <w:tc>
          <w:tcPr>
            <w:tcW w:w="260" w:type="dxa"/>
            <w:vAlign w:val="bottom"/>
          </w:tcPr>
          <w:p>
            <w:pPr>
              <w:jc w:val="right"/>
              <w:ind w:right="1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31,227</w:t>
            </w:r>
          </w:p>
        </w:tc>
        <w:tc>
          <w:tcPr>
            <w:tcW w:w="1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0"/>
                <w:szCs w:val="10"/>
                <w:color w:val="auto"/>
              </w:rPr>
              <w:t xml:space="preserve">(498,078 </w:t>
            </w:r>
            <w:r>
              <w:rPr>
                <w:rFonts w:ascii="Times New Roman" w:cs="Times New Roman" w:eastAsia="Times New Roman" w:hAnsi="Times New Roman"/>
                <w:sz w:val="17"/>
                <w:szCs w:val="17"/>
                <w:color w:val="auto"/>
                <w:vertAlign w:val="subscript"/>
              </w:rPr>
              <w:t>)</w:t>
            </w:r>
          </w:p>
        </w:tc>
        <w:tc>
          <w:tcPr>
            <w:tcW w:w="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147,250</w:t>
            </w:r>
          </w:p>
        </w:tc>
        <w:tc>
          <w:tcPr>
            <w:tcW w:w="200" w:type="dxa"/>
            <w:vAlign w:val="bottom"/>
          </w:tcPr>
          <w:p>
            <w:pPr>
              <w:spacing w:after="0"/>
              <w:rPr>
                <w:sz w:val="14"/>
                <w:szCs w:val="14"/>
                <w:color w:val="auto"/>
              </w:rPr>
            </w:pPr>
          </w:p>
        </w:tc>
        <w:tc>
          <w:tcPr>
            <w:tcW w:w="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0"/>
                <w:szCs w:val="10"/>
                <w:color w:val="auto"/>
              </w:rPr>
              <w:t xml:space="preserve">(350,828 </w:t>
            </w:r>
            <w:r>
              <w:rPr>
                <w:rFonts w:ascii="Times New Roman" w:cs="Times New Roman" w:eastAsia="Times New Roman" w:hAnsi="Times New Roman"/>
                <w:sz w:val="17"/>
                <w:szCs w:val="17"/>
                <w:color w:val="auto"/>
                <w:vertAlign w:val="subscript"/>
              </w:rPr>
              <w:t>)</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-1706880</wp:posOffset>
            </wp:positionV>
            <wp:extent cx="6707505" cy="990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-1481455</wp:posOffset>
            </wp:positionH>
            <wp:positionV relativeFrom="paragraph">
              <wp:posOffset>-1409700</wp:posOffset>
            </wp:positionV>
            <wp:extent cx="6707505" cy="1981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-1481455</wp:posOffset>
            </wp:positionH>
            <wp:positionV relativeFrom="paragraph">
              <wp:posOffset>-913765</wp:posOffset>
            </wp:positionV>
            <wp:extent cx="6707505" cy="1981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-1481455</wp:posOffset>
            </wp:positionH>
            <wp:positionV relativeFrom="paragraph">
              <wp:posOffset>-616585</wp:posOffset>
            </wp:positionV>
            <wp:extent cx="6707505" cy="1981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-1481455</wp:posOffset>
            </wp:positionH>
            <wp:positionV relativeFrom="paragraph">
              <wp:posOffset>-319405</wp:posOffset>
            </wp:positionV>
            <wp:extent cx="6707505" cy="1981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6707505" cy="19812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2190" w:space="180"/>
            <w:col w:w="8220"/>
          </w:cols>
          <w:pgMar w:left="630" w:top="1417" w:right="68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488315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90"/>
          </w:cols>
          <w:pgMar w:left="630" w:top="1417" w:right="680" w:bottom="1440" w:gutter="0" w:footer="0" w:header="0"/>
          <w:type w:val="continuous"/>
        </w:sectPr>
      </w:pPr>
    </w:p>
    <w:bookmarkStart w:id="138" w:name="page139"/>
    <w:bookmarkEnd w:id="138"/>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BALANCE SHEET OFFSETTING</w:t>
      </w:r>
    </w:p>
    <w:p>
      <w:pPr>
        <w:spacing w:after="0" w:line="154" w:lineRule="exact"/>
        <w:rPr>
          <w:sz w:val="20"/>
          <w:szCs w:val="20"/>
          <w:color w:val="auto"/>
        </w:rPr>
      </w:pPr>
    </w:p>
    <w:p>
      <w:pPr>
        <w:ind w:left="20" w:firstLine="588"/>
        <w:spacing w:after="0" w:line="239" w:lineRule="auto"/>
        <w:rPr>
          <w:sz w:val="20"/>
          <w:szCs w:val="20"/>
          <w:color w:val="auto"/>
        </w:rPr>
      </w:pPr>
      <w:r>
        <w:rPr>
          <w:rFonts w:ascii="Times New Roman" w:cs="Times New Roman" w:eastAsia="Times New Roman" w:hAnsi="Times New Roman"/>
          <w:sz w:val="16"/>
          <w:szCs w:val="16"/>
          <w:color w:val="auto"/>
        </w:rPr>
        <w:t>Assets and liabilities relating to certain financial instruments including derivatives and securities sold under repurchase agreements (“repurchase agreements”), may be eligible for offset in the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consolidated balances.</w:t>
      </w:r>
    </w:p>
    <w:p>
      <w:pPr>
        <w:spacing w:after="0" w:line="158" w:lineRule="exact"/>
        <w:rPr>
          <w:sz w:val="20"/>
          <w:szCs w:val="20"/>
          <w:color w:val="auto"/>
        </w:rPr>
      </w:pPr>
    </w:p>
    <w:p>
      <w:pPr>
        <w:ind w:left="20" w:right="20" w:firstLine="432"/>
        <w:spacing w:after="0" w:line="241" w:lineRule="auto"/>
        <w:rPr>
          <w:sz w:val="20"/>
          <w:szCs w:val="20"/>
          <w:color w:val="auto"/>
        </w:rPr>
      </w:pPr>
      <w:r>
        <w:rPr>
          <w:rFonts w:ascii="Times New Roman" w:cs="Times New Roman" w:eastAsia="Times New Roman" w:hAnsi="Times New Roman"/>
          <w:sz w:val="16"/>
          <w:szCs w:val="16"/>
          <w:color w:val="auto"/>
        </w:rPr>
        <w:t xml:space="preserve">In June 2023, fair value hedging transactions were executed in which $1 billion notional pay -fixed interest rate swaps were consummated with maturities ranging from four to five years, wherein the Company pays a weighted average fixed rate of approximately 3.8% and receives daily SOFR. In December 2024, we terminated one of these swaps which had a notional value of $300 million, a maturity date of June 2027 and paid a fixed rate of 3.95%. The remaining $700 million notional pay-fixed interest rate swaps had a fair value which totaled $7.2 million and was reflected as an asset on December 31, 2024. Refer to Note 18 – </w:t>
      </w:r>
      <w:r>
        <w:rPr>
          <w:rFonts w:ascii="Times New Roman" w:cs="Times New Roman" w:eastAsia="Times New Roman" w:hAnsi="Times New Roman"/>
          <w:sz w:val="16"/>
          <w:szCs w:val="16"/>
          <w:i w:val="1"/>
          <w:iCs w:val="1"/>
          <w:color w:val="auto"/>
        </w:rPr>
        <w:t>Derivative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Instruments </w:t>
      </w:r>
      <w:r>
        <w:rPr>
          <w:rFonts w:ascii="Times New Roman" w:cs="Times New Roman" w:eastAsia="Times New Roman" w:hAnsi="Times New Roman"/>
          <w:sz w:val="16"/>
          <w:szCs w:val="16"/>
          <w:color w:val="auto"/>
        </w:rPr>
        <w:t>of the notes to the consolidated financial statements of this report for additional information.</w:t>
      </w:r>
    </w:p>
    <w:p>
      <w:pPr>
        <w:spacing w:after="0" w:line="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40" w:top="1440" w:right="700" w:bottom="1440" w:gutter="0" w:footer="0" w:header="0"/>
        </w:sectPr>
      </w:pPr>
    </w:p>
    <w:bookmarkStart w:id="139" w:name="page140"/>
    <w:bookmarkEnd w:id="139"/>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Gross Amounts</w:t>
            </w:r>
          </w:p>
        </w:tc>
        <w:tc>
          <w:tcPr>
            <w:tcW w:w="1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Gross Amounts</w:t>
            </w:r>
          </w:p>
        </w:tc>
        <w:tc>
          <w:tcPr>
            <w:tcW w:w="100" w:type="dxa"/>
            <w:vAlign w:val="bottom"/>
          </w:tcPr>
          <w:p>
            <w:pPr>
              <w:spacing w:after="0"/>
              <w:rPr>
                <w:sz w:val="13"/>
                <w:szCs w:val="13"/>
                <w:color w:val="auto"/>
              </w:rPr>
            </w:pPr>
          </w:p>
        </w:tc>
        <w:tc>
          <w:tcPr>
            <w:tcW w:w="10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Net Amounts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Gross Amounts Not Offset</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780" w:type="dxa"/>
            <w:vAlign w:val="bottom"/>
          </w:tcPr>
          <w:p>
            <w:pPr>
              <w:spacing w:after="0"/>
              <w:rPr>
                <w:sz w:val="13"/>
                <w:szCs w:val="13"/>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Recognized in the</w:t>
            </w:r>
          </w:p>
        </w:tc>
        <w:tc>
          <w:tcPr>
            <w:tcW w:w="1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Offset in the</w:t>
            </w:r>
          </w:p>
        </w:tc>
        <w:tc>
          <w:tcPr>
            <w:tcW w:w="100" w:type="dxa"/>
            <w:vAlign w:val="bottom"/>
          </w:tcPr>
          <w:p>
            <w:pPr>
              <w:spacing w:after="0"/>
              <w:rPr>
                <w:sz w:val="13"/>
                <w:szCs w:val="13"/>
                <w:color w:val="auto"/>
              </w:rPr>
            </w:pPr>
          </w:p>
        </w:tc>
        <w:tc>
          <w:tcPr>
            <w:tcW w:w="10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Presented in the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in the Condensed Consolidated Balance</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Condensed</w:t>
            </w:r>
          </w:p>
        </w:tc>
        <w:tc>
          <w:tcPr>
            <w:tcW w:w="1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Condensed</w:t>
            </w:r>
          </w:p>
        </w:tc>
        <w:tc>
          <w:tcPr>
            <w:tcW w:w="100" w:type="dxa"/>
            <w:vAlign w:val="bottom"/>
          </w:tcPr>
          <w:p>
            <w:pPr>
              <w:spacing w:after="0"/>
              <w:rPr>
                <w:sz w:val="13"/>
                <w:szCs w:val="13"/>
                <w:color w:val="auto"/>
              </w:rPr>
            </w:pPr>
          </w:p>
        </w:tc>
        <w:tc>
          <w:tcPr>
            <w:tcW w:w="10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Condensed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3"/>
          </w:tcPr>
          <w:p>
            <w:pPr>
              <w:jc w:val="center"/>
              <w:ind w:left="594"/>
              <w:spacing w:after="0"/>
              <w:rPr>
                <w:sz w:val="20"/>
                <w:szCs w:val="20"/>
                <w:color w:val="auto"/>
              </w:rPr>
            </w:pPr>
            <w:r>
              <w:rPr>
                <w:rFonts w:ascii="Times New Roman" w:cs="Times New Roman" w:eastAsia="Times New Roman" w:hAnsi="Times New Roman"/>
                <w:sz w:val="13"/>
                <w:szCs w:val="13"/>
                <w:b w:val="1"/>
                <w:bCs w:val="1"/>
                <w:color w:val="auto"/>
              </w:rPr>
              <w:t>Sheets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13"/>
                <w:szCs w:val="13"/>
                <w:color w:val="auto"/>
              </w:rPr>
            </w:pPr>
          </w:p>
        </w:tc>
        <w:tc>
          <w:tcPr>
            <w:tcW w:w="10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Financial</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1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100" w:type="dxa"/>
            <w:vAlign w:val="bottom"/>
          </w:tcPr>
          <w:p>
            <w:pPr>
              <w:spacing w:after="0"/>
              <w:rPr>
                <w:sz w:val="13"/>
                <w:szCs w:val="13"/>
                <w:color w:val="auto"/>
              </w:rPr>
            </w:pPr>
          </w:p>
        </w:tc>
        <w:tc>
          <w:tcPr>
            <w:tcW w:w="10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Collateral Pledged</w:t>
            </w:r>
          </w:p>
        </w:tc>
        <w:tc>
          <w:tcPr>
            <w:tcW w:w="14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Net Amount</w:t>
            </w:r>
          </w:p>
        </w:tc>
      </w:tr>
      <w:tr>
        <w:trPr>
          <w:trHeight w:val="170"/>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2780" w:type="dxa"/>
            <w:vAlign w:val="bottom"/>
            <w:shd w:val="clear" w:color="auto" w:fill="CFF0FC"/>
          </w:tcPr>
          <w:p>
            <w:pPr>
              <w:ind w:left="180"/>
              <w:spacing w:after="0" w:line="144" w:lineRule="exact"/>
              <w:rPr>
                <w:sz w:val="20"/>
                <w:szCs w:val="20"/>
                <w:color w:val="auto"/>
              </w:rPr>
            </w:pPr>
            <w:r>
              <w:rPr>
                <w:rFonts w:ascii="Times New Roman" w:cs="Times New Roman" w:eastAsia="Times New Roman" w:hAnsi="Times New Roman"/>
                <w:sz w:val="13"/>
                <w:szCs w:val="13"/>
                <w:color w:val="auto"/>
              </w:rPr>
              <w:t>Derivatives not designated as</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56"/>
        </w:trPr>
        <w:tc>
          <w:tcPr>
            <w:tcW w:w="2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41,933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(41,903)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42,538</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(42,390)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tcPr>
          <w:p>
            <w:pPr>
              <w:spacing w:after="0"/>
              <w:rPr>
                <w:sz w:val="13"/>
                <w:szCs w:val="13"/>
                <w:color w:val="auto"/>
              </w:rPr>
            </w:pPr>
          </w:p>
        </w:tc>
      </w:tr>
      <w:tr>
        <w:trPr>
          <w:trHeight w:val="144"/>
        </w:trPr>
        <w:tc>
          <w:tcPr>
            <w:tcW w:w="2780" w:type="dxa"/>
            <w:vAlign w:val="bottom"/>
            <w:shd w:val="clear" w:color="auto" w:fill="CFF0FC"/>
          </w:tcPr>
          <w:p>
            <w:pPr>
              <w:ind w:left="180"/>
              <w:spacing w:after="0" w:line="144" w:lineRule="exact"/>
              <w:rPr>
                <w:sz w:val="20"/>
                <w:szCs w:val="20"/>
                <w:color w:val="auto"/>
              </w:rPr>
            </w:pPr>
            <w:r>
              <w:rPr>
                <w:rFonts w:ascii="Times New Roman" w:cs="Times New Roman" w:eastAsia="Times New Roman" w:hAnsi="Times New Roman"/>
                <w:sz w:val="13"/>
                <w:szCs w:val="13"/>
                <w:color w:val="auto"/>
              </w:rPr>
              <w:t>Derivatives designated as</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56"/>
        </w:trPr>
        <w:tc>
          <w:tcPr>
            <w:tcW w:w="2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Fair value hedges: interest rate swaps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7,222</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(6,899)</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tcPr>
          <w:p>
            <w:pPr>
              <w:spacing w:after="0"/>
              <w:rPr>
                <w:sz w:val="13"/>
                <w:szCs w:val="13"/>
                <w:color w:val="auto"/>
              </w:rPr>
            </w:pPr>
          </w:p>
        </w:tc>
      </w:tr>
      <w:tr>
        <w:trPr>
          <w:trHeight w:val="156"/>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Cash flow hedges: interest rate swaps</w:t>
            </w: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780" w:type="dxa"/>
            <w:vAlign w:val="bottom"/>
          </w:tcPr>
          <w:p>
            <w:pPr>
              <w:ind w:left="34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49,155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(41,903</w:t>
            </w:r>
            <w:r>
              <w:rPr>
                <w:rFonts w:ascii="Times New Roman" w:cs="Times New Roman" w:eastAsia="Times New Roman" w:hAnsi="Times New Roman"/>
                <w:sz w:val="15"/>
                <w:szCs w:val="15"/>
                <w:color w:val="auto"/>
                <w:vertAlign w:val="subscript"/>
              </w:rPr>
              <w:t>)</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30</w:t>
            </w: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49,760</w:t>
            </w:r>
          </w:p>
        </w:tc>
        <w:tc>
          <w:tcPr>
            <w:tcW w:w="340" w:type="dxa"/>
            <w:vAlign w:val="bottom"/>
          </w:tcPr>
          <w:p>
            <w:pPr>
              <w:jc w:val="right"/>
              <w:ind w:right="1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(49,289</w:t>
            </w:r>
            <w:r>
              <w:rPr>
                <w:rFonts w:ascii="Times New Roman" w:cs="Times New Roman" w:eastAsia="Times New Roman" w:hAnsi="Times New Roman"/>
                <w:sz w:val="15"/>
                <w:szCs w:val="15"/>
                <w:color w:val="auto"/>
                <w:vertAlign w:val="subscript"/>
              </w:rPr>
              <w:t>)</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501</w:t>
            </w:r>
          </w:p>
        </w:tc>
        <w:tc>
          <w:tcPr>
            <w:tcW w:w="80" w:type="dxa"/>
            <w:vAlign w:val="bottom"/>
          </w:tcPr>
          <w:p>
            <w:pPr>
              <w:spacing w:after="0"/>
              <w:rPr>
                <w:sz w:val="13"/>
                <w:szCs w:val="13"/>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44"/>
        </w:trPr>
        <w:tc>
          <w:tcPr>
            <w:tcW w:w="27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Derivatives not designated as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Interest rate swaps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FF0FC"/>
          </w:tcPr>
          <w:p>
            <w:pPr>
              <w:spacing w:after="0"/>
              <w:rPr>
                <w:sz w:val="13"/>
                <w:szCs w:val="13"/>
                <w:color w:val="auto"/>
              </w:rPr>
            </w:pPr>
          </w:p>
        </w:tc>
      </w:tr>
      <w:tr>
        <w:trPr>
          <w:trHeight w:val="144"/>
        </w:trPr>
        <w:tc>
          <w:tcPr>
            <w:tcW w:w="27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Derivatives designated as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Fair value hedges: interest rate swaps</w:t>
            </w: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Cash flow hedges: interest rate swaps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tcPr>
          <w:p>
            <w:pPr>
              <w:spacing w:after="0"/>
              <w:rPr>
                <w:sz w:val="13"/>
                <w:szCs w:val="13"/>
                <w:color w:val="auto"/>
              </w:rPr>
            </w:pPr>
          </w:p>
        </w:tc>
      </w:tr>
      <w:tr>
        <w:trPr>
          <w:trHeight w:val="156"/>
        </w:trPr>
        <w:tc>
          <w:tcPr>
            <w:tcW w:w="2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Repurchase agreements</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261,887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261,887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(306,401)</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(44,514)</w:t>
            </w:r>
          </w:p>
        </w:tc>
      </w:tr>
      <w:tr>
        <w:trPr>
          <w:trHeight w:val="156"/>
        </w:trPr>
        <w:tc>
          <w:tcPr>
            <w:tcW w:w="2780" w:type="dxa"/>
            <w:vAlign w:val="bottom"/>
          </w:tcPr>
          <w:p>
            <w:pPr>
              <w:ind w:left="34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262,434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261,917</w:t>
            </w: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517</w:t>
            </w:r>
          </w:p>
        </w:tc>
        <w:tc>
          <w:tcPr>
            <w:tcW w:w="200" w:type="dxa"/>
            <w:vAlign w:val="bottom"/>
          </w:tcPr>
          <w:p>
            <w:pPr>
              <w:spacing w:after="0"/>
              <w:rPr>
                <w:sz w:val="13"/>
                <w:szCs w:val="13"/>
                <w:color w:val="auto"/>
              </w:rPr>
            </w:pPr>
          </w:p>
        </w:tc>
        <w:tc>
          <w:tcPr>
            <w:tcW w:w="340" w:type="dxa"/>
            <w:vAlign w:val="bottom"/>
          </w:tcPr>
          <w:p>
            <w:pPr>
              <w:jc w:val="right"/>
              <w:ind w:right="1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 xml:space="preserve">(306,401 </w:t>
            </w:r>
            <w:r>
              <w:rPr>
                <w:rFonts w:ascii="Times New Roman" w:cs="Times New Roman" w:eastAsia="Times New Roman" w:hAnsi="Times New Roman"/>
                <w:sz w:val="15"/>
                <w:szCs w:val="15"/>
                <w:color w:val="auto"/>
                <w:vertAlign w:val="subscript"/>
              </w:rPr>
              <w:t>)</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(43,967</w:t>
            </w:r>
            <w:r>
              <w:rPr>
                <w:rFonts w:ascii="Times New Roman" w:cs="Times New Roman" w:eastAsia="Times New Roman" w:hAnsi="Times New Roman"/>
                <w:sz w:val="15"/>
                <w:szCs w:val="15"/>
                <w:color w:val="auto"/>
                <w:vertAlign w:val="subscript"/>
              </w:rPr>
              <w:t>)</w:t>
            </w:r>
          </w:p>
        </w:tc>
      </w:tr>
      <w:tr>
        <w:trPr>
          <w:trHeight w:val="20"/>
        </w:trPr>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2780" w:type="dxa"/>
            <w:vAlign w:val="bottom"/>
            <w:shd w:val="clear" w:color="auto" w:fill="CFF0FC"/>
          </w:tcPr>
          <w:p>
            <w:pPr>
              <w:ind w:left="180"/>
              <w:spacing w:after="0" w:line="144" w:lineRule="exact"/>
              <w:rPr>
                <w:sz w:val="20"/>
                <w:szCs w:val="20"/>
                <w:color w:val="auto"/>
              </w:rPr>
            </w:pPr>
            <w:r>
              <w:rPr>
                <w:rFonts w:ascii="Times New Roman" w:cs="Times New Roman" w:eastAsia="Times New Roman" w:hAnsi="Times New Roman"/>
                <w:sz w:val="13"/>
                <w:szCs w:val="13"/>
                <w:color w:val="auto"/>
              </w:rPr>
              <w:t>Derivatives not designated as</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FF0FC"/>
          </w:tcPr>
          <w:p>
            <w:pPr>
              <w:spacing w:after="0"/>
              <w:rPr>
                <w:sz w:val="14"/>
                <w:szCs w:val="14"/>
                <w:color w:val="auto"/>
              </w:rPr>
            </w:pPr>
          </w:p>
        </w:tc>
      </w:tr>
      <w:tr>
        <w:trPr>
          <w:trHeight w:val="144"/>
        </w:trPr>
        <w:tc>
          <w:tcPr>
            <w:tcW w:w="27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Derivatives designated as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FF0FC"/>
          </w:tcPr>
          <w:p>
            <w:pPr>
              <w:spacing w:after="0"/>
              <w:rPr>
                <w:sz w:val="17"/>
                <w:szCs w:val="17"/>
                <w:color w:val="auto"/>
              </w:rPr>
            </w:pPr>
          </w:p>
        </w:tc>
      </w:tr>
      <w:tr>
        <w:trPr>
          <w:trHeight w:val="288"/>
        </w:trPr>
        <w:tc>
          <w:tcPr>
            <w:tcW w:w="2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44"/>
        </w:trPr>
        <w:tc>
          <w:tcPr>
            <w:tcW w:w="2780" w:type="dxa"/>
            <w:vAlign w:val="bottom"/>
            <w:shd w:val="clear" w:color="auto" w:fill="CFF0FC"/>
          </w:tcPr>
          <w:p>
            <w:pPr>
              <w:ind w:left="180"/>
              <w:spacing w:after="0" w:line="144" w:lineRule="exact"/>
              <w:rPr>
                <w:sz w:val="20"/>
                <w:szCs w:val="20"/>
                <w:color w:val="auto"/>
              </w:rPr>
            </w:pPr>
            <w:r>
              <w:rPr>
                <w:rFonts w:ascii="Times New Roman" w:cs="Times New Roman" w:eastAsia="Times New Roman" w:hAnsi="Times New Roman"/>
                <w:sz w:val="13"/>
                <w:szCs w:val="13"/>
                <w:color w:val="auto"/>
              </w:rPr>
              <w:t>Derivatives not designated as</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42,613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(42,501)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42,501</w:t>
            </w:r>
          </w:p>
        </w:tc>
        <w:tc>
          <w:tcPr>
            <w:tcW w:w="3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(11,659)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30,954</w:t>
            </w:r>
          </w:p>
        </w:tc>
      </w:tr>
      <w:tr>
        <w:trPr>
          <w:trHeight w:val="144"/>
        </w:trPr>
        <w:tc>
          <w:tcPr>
            <w:tcW w:w="27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Derivatives designated as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6,938</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6,938</w:t>
            </w:r>
          </w:p>
        </w:tc>
        <w:tc>
          <w:tcPr>
            <w:tcW w:w="80" w:type="dxa"/>
            <w:vAlign w:val="bottom"/>
          </w:tcPr>
          <w:p>
            <w:pPr>
              <w:spacing w:after="0"/>
              <w:rPr>
                <w:sz w:val="14"/>
                <w:szCs w:val="14"/>
                <w:color w:val="auto"/>
              </w:rPr>
            </w:pPr>
          </w:p>
        </w:tc>
      </w:tr>
      <w:tr>
        <w:trPr>
          <w:trHeight w:val="156"/>
        </w:trPr>
        <w:tc>
          <w:tcPr>
            <w:tcW w:w="2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Repurchase agreements</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271,642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271,642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(362,505)</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(90,863)</w:t>
            </w:r>
          </w:p>
        </w:tc>
      </w:tr>
      <w:tr>
        <w:trPr>
          <w:trHeight w:val="156"/>
        </w:trPr>
        <w:tc>
          <w:tcPr>
            <w:tcW w:w="2780" w:type="dxa"/>
            <w:vAlign w:val="bottom"/>
          </w:tcPr>
          <w:p>
            <w:pPr>
              <w:ind w:left="34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321,193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(42,501</w:t>
            </w:r>
            <w:r>
              <w:rPr>
                <w:rFonts w:ascii="Times New Roman" w:cs="Times New Roman" w:eastAsia="Times New Roman" w:hAnsi="Times New Roman"/>
                <w:sz w:val="15"/>
                <w:szCs w:val="15"/>
                <w:color w:val="auto"/>
                <w:vertAlign w:val="subscript"/>
              </w:rPr>
              <w:t>)</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271,754</w:t>
            </w: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49,439</w:t>
            </w:r>
          </w:p>
        </w:tc>
        <w:tc>
          <w:tcPr>
            <w:tcW w:w="340" w:type="dxa"/>
            <w:vAlign w:val="bottom"/>
          </w:tcPr>
          <w:p>
            <w:pPr>
              <w:jc w:val="right"/>
              <w:ind w:right="1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 xml:space="preserve">(374,164 </w:t>
            </w:r>
            <w:r>
              <w:rPr>
                <w:rFonts w:ascii="Times New Roman" w:cs="Times New Roman" w:eastAsia="Times New Roman" w:hAnsi="Times New Roman"/>
                <w:sz w:val="15"/>
                <w:szCs w:val="15"/>
                <w:color w:val="auto"/>
                <w:vertAlign w:val="subscript"/>
              </w:rPr>
              <w:t>)</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(52,971</w:t>
            </w:r>
            <w:r>
              <w:rPr>
                <w:rFonts w:ascii="Times New Roman" w:cs="Times New Roman" w:eastAsia="Times New Roman" w:hAnsi="Times New Roman"/>
                <w:sz w:val="15"/>
                <w:szCs w:val="15"/>
                <w:color w:val="auto"/>
                <w:vertAlign w:val="subscript"/>
              </w:rPr>
              <w:t>)</w:t>
            </w:r>
          </w:p>
        </w:tc>
      </w:tr>
      <w:tr>
        <w:trPr>
          <w:trHeight w:val="20"/>
        </w:trPr>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LEASES</w:t>
      </w:r>
    </w:p>
    <w:p>
      <w:pPr>
        <w:spacing w:after="0" w:line="154" w:lineRule="exact"/>
        <w:rPr>
          <w:sz w:val="20"/>
          <w:szCs w:val="20"/>
          <w:color w:val="auto"/>
        </w:rPr>
      </w:pPr>
    </w:p>
    <w:p>
      <w:pPr>
        <w:ind w:left="20" w:right="160" w:firstLine="588"/>
        <w:spacing w:after="0" w:line="247" w:lineRule="auto"/>
        <w:rPr>
          <w:sz w:val="20"/>
          <w:szCs w:val="20"/>
          <w:color w:val="auto"/>
        </w:rPr>
      </w:pPr>
      <w:r>
        <w:rPr>
          <w:rFonts w:ascii="Times New Roman" w:cs="Times New Roman" w:eastAsia="Times New Roman" w:hAnsi="Times New Roman"/>
          <w:sz w:val="16"/>
          <w:szCs w:val="16"/>
          <w:color w:val="auto"/>
        </w:rPr>
        <w:t>All of the Company’s operating leases, where the Company is a lessee, are for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consolidated balance sheet.</w:t>
      </w:r>
    </w:p>
    <w:p>
      <w:pPr>
        <w:spacing w:after="0" w:line="1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While the Company has, as a lessor, certain equipment finance leases, such leases are not material to the Company’s consolidated financial statements.</w:t>
      </w:r>
    </w:p>
    <w:p>
      <w:pPr>
        <w:spacing w:after="0" w:line="140" w:lineRule="exact"/>
        <w:rPr>
          <w:sz w:val="20"/>
          <w:szCs w:val="20"/>
          <w:color w:val="auto"/>
        </w:rPr>
      </w:pPr>
    </w:p>
    <w:p>
      <w:pPr>
        <w:ind w:left="5180" w:right="1340" w:hanging="4560"/>
        <w:spacing w:after="0" w:line="384" w:lineRule="auto"/>
        <w:rPr>
          <w:sz w:val="20"/>
          <w:szCs w:val="20"/>
          <w:color w:val="auto"/>
        </w:rPr>
      </w:pPr>
      <w:r>
        <w:rPr>
          <w:rFonts w:ascii="Times New Roman" w:cs="Times New Roman" w:eastAsia="Times New Roman" w:hAnsi="Times New Roman"/>
          <w:sz w:val="16"/>
          <w:szCs w:val="16"/>
          <w:color w:val="auto"/>
        </w:rPr>
        <w:t>The tables below present the components of lease costs and supplemental information related to leases as of and for the periods presented.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407035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40" w:name="page141"/>
    <w:bookmarkEnd w:id="140"/>
    <w:p>
      <w:pPr>
        <w:spacing w:after="0" w:line="185"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000" w:type="dxa"/>
            <w:vAlign w:val="bottom"/>
          </w:tcPr>
          <w:p>
            <w:pPr>
              <w:spacing w:after="0"/>
              <w:rPr>
                <w:sz w:val="15"/>
                <w:szCs w:val="15"/>
                <w:color w:val="auto"/>
              </w:rPr>
            </w:pPr>
          </w:p>
        </w:tc>
        <w:tc>
          <w:tcPr>
            <w:tcW w:w="1320" w:type="dxa"/>
            <w:vAlign w:val="bottom"/>
            <w:vMerge w:val="restart"/>
          </w:tcPr>
          <w:p>
            <w:pPr>
              <w:jc w:val="right"/>
              <w:ind w:right="8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340" w:type="dxa"/>
            <w:vAlign w:val="bottom"/>
            <w:vMerge w:val="restart"/>
          </w:tcPr>
          <w:p>
            <w:pPr>
              <w:jc w:val="right"/>
              <w:ind w:right="80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Lease Assets and Liabilities</w:t>
            </w:r>
          </w:p>
        </w:tc>
        <w:tc>
          <w:tcPr>
            <w:tcW w:w="13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ROU assets</w:t>
            </w:r>
          </w:p>
        </w:tc>
        <w:tc>
          <w:tcPr>
            <w:tcW w:w="1320" w:type="dxa"/>
            <w:vAlign w:val="bottom"/>
          </w:tcPr>
          <w:p>
            <w:pPr>
              <w:jc w:val="right"/>
              <w:ind w:right="1167"/>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47,117</w:t>
            </w:r>
          </w:p>
        </w:tc>
        <w:tc>
          <w:tcPr>
            <w:tcW w:w="320" w:type="dxa"/>
            <w:vAlign w:val="bottom"/>
          </w:tcPr>
          <w:p>
            <w:pPr>
              <w:spacing w:after="0"/>
              <w:rPr>
                <w:sz w:val="15"/>
                <w:szCs w:val="15"/>
                <w:color w:val="auto"/>
              </w:rPr>
            </w:pPr>
          </w:p>
        </w:tc>
        <w:tc>
          <w:tcPr>
            <w:tcW w:w="700" w:type="dxa"/>
            <w:vAlign w:val="bottom"/>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21,655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lease liabilities</w:t>
            </w:r>
          </w:p>
        </w:tc>
        <w:tc>
          <w:tcPr>
            <w:tcW w:w="1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49,617</w:t>
            </w: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24,056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5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00" w:type="dxa"/>
            <w:vAlign w:val="bottom"/>
          </w:tcPr>
          <w:p>
            <w:pPr>
              <w:spacing w:after="0"/>
              <w:rPr>
                <w:sz w:val="15"/>
                <w:szCs w:val="15"/>
                <w:color w:val="auto"/>
              </w:rPr>
            </w:pPr>
          </w:p>
        </w:tc>
        <w:tc>
          <w:tcPr>
            <w:tcW w:w="1320" w:type="dxa"/>
            <w:vAlign w:val="bottom"/>
          </w:tcPr>
          <w:p>
            <w:pPr>
              <w:jc w:val="right"/>
              <w:ind w:right="87"/>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jc w:val="right"/>
              <w:ind w:right="80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1320" w:type="dxa"/>
            <w:vAlign w:val="bottom"/>
          </w:tcPr>
          <w:p>
            <w:pPr>
              <w:spacing w:after="0"/>
              <w:rPr>
                <w:sz w:val="15"/>
                <w:szCs w:val="15"/>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Operating lease expense (1)</w:t>
            </w:r>
          </w:p>
        </w:tc>
        <w:tc>
          <w:tcPr>
            <w:tcW w:w="1320" w:type="dxa"/>
            <w:vAlign w:val="bottom"/>
            <w:shd w:val="clear" w:color="auto" w:fill="CFF0FC"/>
          </w:tcPr>
          <w:p>
            <w:pPr>
              <w:jc w:val="right"/>
              <w:ind w:right="1167"/>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8,109</w:t>
            </w:r>
          </w:p>
        </w:tc>
        <w:tc>
          <w:tcPr>
            <w:tcW w:w="700" w:type="dxa"/>
            <w:vAlign w:val="bottom"/>
            <w:shd w:val="clear" w:color="auto" w:fill="CFF0FC"/>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7,350</w:t>
            </w:r>
          </w:p>
        </w:tc>
        <w:tc>
          <w:tcPr>
            <w:tcW w:w="0" w:type="dxa"/>
            <w:vAlign w:val="bottom"/>
          </w:tcPr>
          <w:p>
            <w:pPr>
              <w:spacing w:after="0"/>
              <w:rPr>
                <w:sz w:val="1"/>
                <w:szCs w:val="1"/>
                <w:color w:val="auto"/>
              </w:rPr>
            </w:pPr>
          </w:p>
        </w:tc>
      </w:tr>
      <w:tr>
        <w:trPr>
          <w:trHeight w:val="180"/>
        </w:trPr>
        <w:tc>
          <w:tcPr>
            <w:tcW w:w="50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Sublease income</w:t>
            </w:r>
          </w:p>
        </w:tc>
        <w:tc>
          <w:tcPr>
            <w:tcW w:w="1320" w:type="dxa"/>
            <w:vAlign w:val="bottom"/>
          </w:tcPr>
          <w:p>
            <w:pPr>
              <w:spacing w:after="0"/>
              <w:rPr>
                <w:sz w:val="15"/>
                <w:szCs w:val="15"/>
                <w:color w:val="auto"/>
              </w:rPr>
            </w:pPr>
          </w:p>
        </w:tc>
        <w:tc>
          <w:tcPr>
            <w:tcW w:w="106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5"/>
                <w:szCs w:val="15"/>
                <w:color w:val="auto"/>
              </w:rPr>
            </w:pPr>
          </w:p>
        </w:tc>
        <w:tc>
          <w:tcPr>
            <w:tcW w:w="14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5000" w:type="dxa"/>
            <w:vAlign w:val="bottom"/>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Total lease expense</w:t>
            </w:r>
          </w:p>
        </w:tc>
        <w:tc>
          <w:tcPr>
            <w:tcW w:w="1320" w:type="dxa"/>
            <w:vAlign w:val="bottom"/>
            <w:shd w:val="clear" w:color="auto" w:fill="CFF0FC"/>
          </w:tcPr>
          <w:p>
            <w:pPr>
              <w:jc w:val="right"/>
              <w:ind w:right="1167"/>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8,109</w:t>
            </w:r>
          </w:p>
        </w:tc>
        <w:tc>
          <w:tcPr>
            <w:tcW w:w="700" w:type="dxa"/>
            <w:vAlign w:val="bottom"/>
            <w:shd w:val="clear" w:color="auto" w:fill="CFF0FC"/>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7,350</w:t>
            </w:r>
          </w:p>
        </w:tc>
        <w:tc>
          <w:tcPr>
            <w:tcW w:w="0" w:type="dxa"/>
            <w:vAlign w:val="bottom"/>
          </w:tcPr>
          <w:p>
            <w:pPr>
              <w:spacing w:after="0"/>
              <w:rPr>
                <w:sz w:val="1"/>
                <w:szCs w:val="1"/>
                <w:color w:val="auto"/>
              </w:rPr>
            </w:pPr>
          </w:p>
        </w:tc>
      </w:tr>
      <w:tr>
        <w:trPr>
          <w:trHeight w:val="332"/>
        </w:trPr>
        <w:tc>
          <w:tcPr>
            <w:tcW w:w="500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4"/>
                <w:szCs w:val="14"/>
                <w:color w:val="auto"/>
              </w:rPr>
              <w:t>(1)Includes short-term leases and variable lease costs, which are immaterial.</w:t>
            </w:r>
          </w:p>
        </w:tc>
        <w:tc>
          <w:tcPr>
            <w:tcW w:w="1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Information</w:t>
            </w:r>
          </w:p>
        </w:tc>
        <w:tc>
          <w:tcPr>
            <w:tcW w:w="13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000" w:type="dxa"/>
            <w:vAlign w:val="bottom"/>
          </w:tcPr>
          <w:p>
            <w:pPr>
              <w:ind w:left="80"/>
              <w:spacing w:after="0" w:line="167" w:lineRule="exact"/>
              <w:rPr>
                <w:sz w:val="20"/>
                <w:szCs w:val="20"/>
                <w:color w:val="auto"/>
              </w:rPr>
            </w:pPr>
            <w:r>
              <w:rPr>
                <w:rFonts w:ascii="Times New Roman" w:cs="Times New Roman" w:eastAsia="Times New Roman" w:hAnsi="Times New Roman"/>
                <w:sz w:val="16"/>
                <w:szCs w:val="16"/>
                <w:color w:val="auto"/>
              </w:rPr>
              <w:t>Cash paid for amounts included in the</w:t>
            </w: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measurement of lease liabilities:</w:t>
            </w: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000" w:type="dxa"/>
            <w:vAlign w:val="bottom"/>
            <w:shd w:val="clear" w:color="auto" w:fill="CFF0FC"/>
          </w:tcPr>
          <w:p>
            <w:pPr>
              <w:ind w:left="240"/>
              <w:spacing w:after="0" w:line="167" w:lineRule="exact"/>
              <w:rPr>
                <w:sz w:val="20"/>
                <w:szCs w:val="20"/>
                <w:color w:val="auto"/>
              </w:rPr>
            </w:pPr>
            <w:r>
              <w:rPr>
                <w:rFonts w:ascii="Times New Roman" w:cs="Times New Roman" w:eastAsia="Times New Roman" w:hAnsi="Times New Roman"/>
                <w:sz w:val="16"/>
                <w:szCs w:val="16"/>
                <w:color w:val="auto"/>
              </w:rPr>
              <w:t>Operating cash outflows from operating</w:t>
            </w:r>
          </w:p>
        </w:tc>
        <w:tc>
          <w:tcPr>
            <w:tcW w:w="1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leases, net</w:t>
            </w:r>
          </w:p>
        </w:tc>
        <w:tc>
          <w:tcPr>
            <w:tcW w:w="1320" w:type="dxa"/>
            <w:vAlign w:val="bottom"/>
            <w:shd w:val="clear" w:color="auto" w:fill="CFF0FC"/>
          </w:tcPr>
          <w:p>
            <w:pPr>
              <w:jc w:val="right"/>
              <w:ind w:right="1167"/>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8,094</w:t>
            </w: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6,642</w:t>
            </w:r>
          </w:p>
        </w:tc>
        <w:tc>
          <w:tcPr>
            <w:tcW w:w="0" w:type="dxa"/>
            <w:vAlign w:val="bottom"/>
          </w:tcPr>
          <w:p>
            <w:pPr>
              <w:spacing w:after="0"/>
              <w:rPr>
                <w:sz w:val="1"/>
                <w:szCs w:val="1"/>
                <w:color w:val="auto"/>
              </w:rPr>
            </w:pPr>
          </w:p>
        </w:tc>
      </w:tr>
      <w:tr>
        <w:trPr>
          <w:trHeight w:val="388"/>
        </w:trPr>
        <w:tc>
          <w:tcPr>
            <w:tcW w:w="5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gridSpan w:val="3"/>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1320" w:type="dxa"/>
            <w:vAlign w:val="bottom"/>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jc w:val="right"/>
              <w:ind w:right="8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13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0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Weighted average remaining lease term</w:t>
            </w: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(years)</w:t>
            </w:r>
          </w:p>
        </w:tc>
        <w:tc>
          <w:tcPr>
            <w:tcW w:w="1320" w:type="dxa"/>
            <w:vAlign w:val="bottom"/>
          </w:tcPr>
          <w:p>
            <w:pPr>
              <w:spacing w:after="0"/>
              <w:rPr>
                <w:sz w:val="16"/>
                <w:szCs w:val="16"/>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9.99</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Weighted average discount rate</w:t>
            </w:r>
          </w:p>
        </w:tc>
        <w:tc>
          <w:tcPr>
            <w:tcW w:w="13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ind w:left="360"/>
              <w:spacing w:after="0" w:line="180" w:lineRule="exact"/>
              <w:rPr>
                <w:sz w:val="20"/>
                <w:szCs w:val="20"/>
                <w:color w:val="auto"/>
              </w:rPr>
            </w:pPr>
            <w:r>
              <w:rPr>
                <w:rFonts w:ascii="Times New Roman" w:cs="Times New Roman" w:eastAsia="Times New Roman" w:hAnsi="Times New Roman"/>
                <w:sz w:val="16"/>
                <w:szCs w:val="16"/>
                <w:color w:val="auto"/>
              </w:rPr>
              <w:t>5.95%</w:t>
            </w:r>
          </w:p>
        </w:tc>
        <w:tc>
          <w:tcPr>
            <w:tcW w:w="7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ind w:left="1000"/>
              <w:spacing w:after="0" w:line="180" w:lineRule="exact"/>
              <w:rPr>
                <w:sz w:val="20"/>
                <w:szCs w:val="20"/>
                <w:color w:val="auto"/>
              </w:rPr>
            </w:pPr>
            <w:r>
              <w:rPr>
                <w:rFonts w:ascii="Times New Roman" w:cs="Times New Roman" w:eastAsia="Times New Roman" w:hAnsi="Times New Roman"/>
                <w:sz w:val="16"/>
                <w:szCs w:val="16"/>
                <w:color w:val="auto"/>
                <w:w w:val="96"/>
              </w:rPr>
              <w:t>3.48%</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20" w:firstLine="588"/>
        <w:spacing w:after="0" w:line="243" w:lineRule="auto"/>
        <w:rPr>
          <w:sz w:val="20"/>
          <w:szCs w:val="20"/>
          <w:color w:val="auto"/>
        </w:rPr>
      </w:pPr>
      <w:r>
        <w:rPr>
          <w:rFonts w:ascii="Times New Roman" w:cs="Times New Roman" w:eastAsia="Times New Roman" w:hAnsi="Times New Roman"/>
          <w:sz w:val="16"/>
          <w:szCs w:val="16"/>
          <w:color w:val="auto"/>
        </w:rPr>
        <w:t>During the third and fourth quarters of 2024, the Bank executed sale-leaseback transactions with the sale of four properties for an aggregate sale price of $47.1 million, resulting in a pre-tax net gain of $25.9 million and cash proceeds of $44.76 million. The Bank simultaneously entered into lease agreements with the respective purchasers for initial terms of 15 and 18 years with specified renewal options for each respective lease. The Bank also recorded ROU assets and corresponding operating lease liabilities of $26.8 million.</w:t>
      </w:r>
    </w:p>
    <w:p>
      <w:pPr>
        <w:spacing w:after="0" w:line="155" w:lineRule="exact"/>
        <w:rPr>
          <w:sz w:val="20"/>
          <w:szCs w:val="20"/>
          <w:color w:val="auto"/>
        </w:rPr>
      </w:pPr>
    </w:p>
    <w:p>
      <w:pPr>
        <w:ind w:right="80" w:firstLine="588"/>
        <w:spacing w:after="0" w:line="247" w:lineRule="auto"/>
        <w:rPr>
          <w:sz w:val="20"/>
          <w:szCs w:val="20"/>
          <w:color w:val="auto"/>
        </w:rPr>
      </w:pPr>
      <w:r>
        <w:rPr>
          <w:rFonts w:ascii="Times New Roman" w:cs="Times New Roman" w:eastAsia="Times New Roman" w:hAnsi="Times New Roman"/>
          <w:sz w:val="16"/>
          <w:szCs w:val="16"/>
          <w:color w:val="auto"/>
        </w:rPr>
        <w:t>The Company’s lease arrangements that have not yet commenced as of December 31, 2024 and the Company’s short-term lease costs and variable lease costs, for the year ended December 31, 2024 are not material to the consolidated financial statements. The future lease payments required for leases that have initial or remaining non-cancelable lease terms in excess of one year as of December 31, 2024, excluding property taxes and insurance,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Year:</w:t>
            </w:r>
          </w:p>
        </w:tc>
        <w:tc>
          <w:tcPr>
            <w:tcW w:w="36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40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10,114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36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9,080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3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7,679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36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5,892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3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4,205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Thereafter</w:t>
            </w:r>
          </w:p>
        </w:tc>
        <w:tc>
          <w:tcPr>
            <w:tcW w:w="3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32,670</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36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3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future lease payments</w:t>
            </w:r>
          </w:p>
        </w:tc>
        <w:tc>
          <w:tcPr>
            <w:tcW w:w="3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69,640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3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Less: Imputed interest</w:t>
            </w:r>
          </w:p>
        </w:tc>
        <w:tc>
          <w:tcPr>
            <w:tcW w:w="36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(20,023)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Present value of lease liabilities</w:t>
            </w:r>
          </w:p>
        </w:tc>
        <w:tc>
          <w:tcPr>
            <w:tcW w:w="40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49,617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40" w:type="dxa"/>
            <w:vAlign w:val="bottom"/>
            <w:vMerge w:val="restart"/>
          </w:tcPr>
          <w:p>
            <w:pPr>
              <w:jc w:val="right"/>
              <w:ind w:right="2002"/>
              <w:spacing w:after="0"/>
              <w:rPr>
                <w:sz w:val="20"/>
                <w:szCs w:val="20"/>
                <w:color w:val="auto"/>
              </w:rPr>
            </w:pPr>
            <w:r>
              <w:rPr>
                <w:rFonts w:ascii="Times New Roman" w:cs="Times New Roman" w:eastAsia="Times New Roman" w:hAnsi="Times New Roman"/>
                <w:sz w:val="16"/>
                <w:szCs w:val="16"/>
                <w:color w:val="auto"/>
              </w:rPr>
              <w:t>140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540" w:type="dxa"/>
            <w:vAlign w:val="bottom"/>
            <w:tcBorders>
              <w:bottom w:val="single" w:sz="8" w:color="EEEEEE"/>
            </w:tcBorders>
          </w:tcPr>
          <w:p>
            <w:pPr>
              <w:spacing w:after="0"/>
              <w:rPr>
                <w:sz w:val="24"/>
                <w:szCs w:val="24"/>
                <w:color w:val="auto"/>
              </w:rPr>
            </w:pPr>
          </w:p>
        </w:tc>
        <w:tc>
          <w:tcPr>
            <w:tcW w:w="3300" w:type="dxa"/>
            <w:vAlign w:val="bottom"/>
            <w:tcBorders>
              <w:bottom w:val="single" w:sz="8" w:color="EEEEEE"/>
            </w:tcBorders>
          </w:tcPr>
          <w:p>
            <w:pPr>
              <w:spacing w:after="0"/>
              <w:rPr>
                <w:sz w:val="24"/>
                <w:szCs w:val="24"/>
                <w:color w:val="auto"/>
              </w:rPr>
            </w:pPr>
          </w:p>
        </w:tc>
        <w:tc>
          <w:tcPr>
            <w:tcW w:w="36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1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1" w:name="page142"/>
    <w:bookmarkEnd w:id="141"/>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REVENUE RECOGNITION</w:t>
      </w:r>
    </w:p>
    <w:p>
      <w:pPr>
        <w:spacing w:after="0" w:line="152" w:lineRule="exact"/>
        <w:rPr>
          <w:sz w:val="20"/>
          <w:szCs w:val="20"/>
          <w:color w:val="auto"/>
        </w:rPr>
      </w:pPr>
    </w:p>
    <w:p>
      <w:pPr>
        <w:ind w:left="20" w:right="220" w:firstLine="588"/>
        <w:spacing w:after="0" w:line="334" w:lineRule="auto"/>
        <w:rPr>
          <w:sz w:val="20"/>
          <w:szCs w:val="20"/>
          <w:color w:val="auto"/>
        </w:rPr>
      </w:pPr>
      <w:r>
        <w:rPr>
          <w:rFonts w:ascii="Times New Roman" w:cs="Times New Roman" w:eastAsia="Times New Roman" w:hAnsi="Times New Roman"/>
          <w:sz w:val="14"/>
          <w:szCs w:val="14"/>
          <w:color w:val="auto"/>
        </w:rPr>
        <w:t>ASU No. 2014-09 “</w:t>
      </w:r>
      <w:r>
        <w:rPr>
          <w:rFonts w:ascii="Times New Roman" w:cs="Times New Roman" w:eastAsia="Times New Roman" w:hAnsi="Times New Roman"/>
          <w:sz w:val="14"/>
          <w:szCs w:val="14"/>
          <w:i w:val="1"/>
          <w:iCs w:val="1"/>
          <w:color w:val="auto"/>
        </w:rPr>
        <w:t>Revenue from Contracts with Customers (Topic 606)</w:t>
      </w:r>
      <w:r>
        <w:rPr>
          <w:rFonts w:ascii="Times New Roman" w:cs="Times New Roman" w:eastAsia="Times New Roman" w:hAnsi="Times New Roman"/>
          <w:sz w:val="14"/>
          <w:szCs w:val="14"/>
          <w:color w:val="auto"/>
        </w:rPr>
        <w:t>” and all subsequent ASUs that modified Topic 606 requires revenue that is derived from a contract with a customer to be recognized when the Company satisfies the related performance obligations by transferring to the customer a good or service.</w:t>
      </w:r>
    </w:p>
    <w:p>
      <w:pPr>
        <w:spacing w:after="0" w:line="70" w:lineRule="exact"/>
        <w:rPr>
          <w:sz w:val="20"/>
          <w:szCs w:val="20"/>
          <w:color w:val="auto"/>
        </w:rPr>
      </w:pPr>
    </w:p>
    <w:p>
      <w:pPr>
        <w:ind w:left="20" w:right="80" w:firstLine="588"/>
        <w:spacing w:after="0" w:line="241" w:lineRule="auto"/>
        <w:rPr>
          <w:sz w:val="20"/>
          <w:szCs w:val="20"/>
          <w:color w:val="auto"/>
        </w:rPr>
      </w:pPr>
      <w:r>
        <w:rPr>
          <w:rFonts w:ascii="Times New Roman" w:cs="Times New Roman" w:eastAsia="Times New Roman" w:hAnsi="Times New Roman"/>
          <w:sz w:val="16"/>
          <w:szCs w:val="16"/>
          <w:color w:val="auto"/>
        </w:rPr>
        <w:t>Topic 606 does not apply to revenue associated with financial instruments, including interest and the gain/(loss) on the sale of loans and securities. In addition, certain noninterest income streams such as BOLI income and fees associated with mortgage servicing rights, financial guarantees, derivatives, and certain credit card fees are also not in scope of the new guidance. Topic 606 is applicable to noninterest revenue streams such as trust and asset management income, deposit related fees, interchange fees, and merchant income. However, the recognition of these revenue streams did not change significantly upon adoption of Topic 606. Noninterest revenue streams in-scope of Topic 606 are discussed below.</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Trust and Investment Services</w:t>
      </w:r>
    </w:p>
    <w:p>
      <w:pPr>
        <w:spacing w:after="0" w:line="94" w:lineRule="exact"/>
        <w:rPr>
          <w:sz w:val="20"/>
          <w:szCs w:val="20"/>
          <w:color w:val="auto"/>
        </w:rPr>
      </w:pPr>
    </w:p>
    <w:p>
      <w:pPr>
        <w:ind w:left="20" w:right="40" w:firstLine="588"/>
        <w:spacing w:after="0" w:line="239" w:lineRule="auto"/>
        <w:rPr>
          <w:sz w:val="20"/>
          <w:szCs w:val="20"/>
          <w:color w:val="auto"/>
        </w:rPr>
      </w:pPr>
      <w:r>
        <w:rPr>
          <w:rFonts w:ascii="Times New Roman" w:cs="Times New Roman" w:eastAsia="Times New Roman" w:hAnsi="Times New Roman"/>
          <w:sz w:val="16"/>
          <w:szCs w:val="16"/>
          <w:color w:val="auto"/>
        </w:rPr>
        <w:t>Trust and asset management income is primarily comprised of fees earned from the management and administration of trusts and customer assets. The Company’s performance obligation is generally satisfied over time and the resulting fees are recognized monthly, based upon the monthly market value of the assets under management and the applicable fee rate. Payment is generally received at month end through a direct charge to customers’ accounts. The Company does not earn performance-based incentives. Other services related to real estate and tax return preparation services are also provided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37" w:lineRule="exact"/>
        <w:rPr>
          <w:sz w:val="20"/>
          <w:szCs w:val="20"/>
          <w:color w:val="auto"/>
        </w:rPr>
      </w:pPr>
    </w:p>
    <w:p>
      <w:pPr>
        <w:ind w:left="20" w:right="180" w:firstLine="588"/>
        <w:spacing w:after="0" w:line="243" w:lineRule="auto"/>
        <w:rPr>
          <w:sz w:val="20"/>
          <w:szCs w:val="20"/>
          <w:color w:val="auto"/>
        </w:rPr>
      </w:pPr>
      <w:r>
        <w:rPr>
          <w:rFonts w:ascii="Times New Roman" w:cs="Times New Roman" w:eastAsia="Times New Roman" w:hAnsi="Times New Roman"/>
          <w:sz w:val="16"/>
          <w:szCs w:val="16"/>
          <w:color w:val="auto"/>
        </w:rPr>
        <w:t>Wealth Management contracts with customers have no clauses that would entitle customers to additional services. Fees are generally earned based on market value of assets under management and miscellaneous fees are transaction driven and are charged based on an agreed upon fee schedule. Performance obligation is satisfied upon execution of the transaction and there is no need to allocate transaction price to the performance obligation(s) in the contract. Wealth Management customers can also terminate the contract at will.</w:t>
      </w:r>
    </w:p>
    <w:p>
      <w:pPr>
        <w:spacing w:after="0" w:line="131" w:lineRule="exact"/>
        <w:rPr>
          <w:sz w:val="20"/>
          <w:szCs w:val="20"/>
          <w:color w:val="auto"/>
        </w:rPr>
      </w:pPr>
    </w:p>
    <w:p>
      <w:pPr>
        <w:ind w:left="20" w:firstLine="588"/>
        <w:spacing w:after="0" w:line="247" w:lineRule="auto"/>
        <w:rPr>
          <w:sz w:val="20"/>
          <w:szCs w:val="20"/>
          <w:color w:val="auto"/>
        </w:rPr>
      </w:pPr>
      <w:r>
        <w:rPr>
          <w:rFonts w:ascii="Times New Roman" w:cs="Times New Roman" w:eastAsia="Times New Roman" w:hAnsi="Times New Roman"/>
          <w:sz w:val="16"/>
          <w:szCs w:val="16"/>
          <w:color w:val="auto"/>
        </w:rPr>
        <w:t>For Investment Services, the fees are earned based on services performed for customers as provided through an affiliated broker- dealer. Fees are earned from gross dealer commission based on trade date. Performance obligation is satisfied upon execution of the transaction and there is no need to allocate transaction price to the performance obligation(s) in the contract.</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Deposit-related Fees</w:t>
      </w:r>
    </w:p>
    <w:p>
      <w:pPr>
        <w:spacing w:after="0" w:line="94" w:lineRule="exact"/>
        <w:rPr>
          <w:sz w:val="20"/>
          <w:szCs w:val="20"/>
          <w:color w:val="auto"/>
        </w:rPr>
      </w:pPr>
    </w:p>
    <w:p>
      <w:pPr>
        <w:ind w:left="20" w:right="220" w:firstLine="588"/>
        <w:spacing w:after="0" w:line="241" w:lineRule="auto"/>
        <w:rPr>
          <w:sz w:val="20"/>
          <w:szCs w:val="20"/>
          <w:color w:val="auto"/>
        </w:rPr>
      </w:pPr>
      <w:r>
        <w:rPr>
          <w:rFonts w:ascii="Times New Roman" w:cs="Times New Roman" w:eastAsia="Times New Roman" w:hAnsi="Times New Roman"/>
          <w:sz w:val="16"/>
          <w:szCs w:val="16"/>
          <w:color w:val="auto"/>
        </w:rPr>
        <w:t>Service charges on deposit accounts consist of account analysis fees earned on analyzed business checking accounts, monthly service fees, and other deposit account related fees. The Company’s performance obligation for account analysis fees and monthly service fees is generally satisfied, and the related revenue recognized, over the period in which the service is provided.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Bankcard Services</w:t>
      </w:r>
    </w:p>
    <w:p>
      <w:pPr>
        <w:spacing w:after="0" w:line="94" w:lineRule="exact"/>
        <w:rPr>
          <w:sz w:val="20"/>
          <w:szCs w:val="20"/>
          <w:color w:val="auto"/>
        </w:rPr>
      </w:pPr>
    </w:p>
    <w:p>
      <w:pPr>
        <w:ind w:left="20" w:right="40" w:firstLine="588"/>
        <w:spacing w:after="0" w:line="243" w:lineRule="auto"/>
        <w:rPr>
          <w:sz w:val="20"/>
          <w:szCs w:val="20"/>
          <w:color w:val="auto"/>
        </w:rPr>
      </w:pPr>
      <w:r>
        <w:rPr>
          <w:rFonts w:ascii="Times New Roman" w:cs="Times New Roman" w:eastAsia="Times New Roman" w:hAnsi="Times New Roman"/>
          <w:sz w:val="16"/>
          <w:szCs w:val="16"/>
          <w:color w:val="auto"/>
        </w:rPr>
        <w:t>The Bank generates revenues from merchant servicing to its clients. A fee schedule is part of the contract and is calculated based on sales of merchants on a monthly basis. There is no future promise or claim to deliver services as merchant fees are based on monthly merchant transactions. The Company’s performance obligations are largely satisfied, and related revenue recognized, when the services are rendered or upon completion. Payment is typically received immediately or in the following month.</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42" w:name="page143"/>
    <w:bookmarkEnd w:id="142"/>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presents noninterest income, segregated by revenue streams in-scope and out-of-scope of Topic 606, for the periods presented.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6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r>
      <w:tr>
        <w:trPr>
          <w:trHeight w:val="172"/>
        </w:trPr>
        <w:tc>
          <w:tcPr>
            <w:tcW w:w="6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Noninterest income:</w:t>
            </w:r>
          </w:p>
        </w:tc>
        <w:tc>
          <w:tcPr>
            <w:tcW w:w="7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62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In-scope of Topic 606:</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Service charges on deposit accounts</w:t>
            </w:r>
          </w:p>
        </w:tc>
        <w:tc>
          <w:tcPr>
            <w:tcW w:w="780" w:type="dxa"/>
            <w:vAlign w:val="bottom"/>
            <w:shd w:val="clear" w:color="auto" w:fill="CFF0FC"/>
          </w:tcPr>
          <w:p>
            <w:pPr>
              <w:jc w:val="right"/>
              <w:ind w:right="62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20,370</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20,219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21,382</w:t>
            </w:r>
          </w:p>
        </w:tc>
        <w:tc>
          <w:tcPr>
            <w:tcW w:w="80" w:type="dxa"/>
            <w:vAlign w:val="bottom"/>
            <w:shd w:val="clear" w:color="auto" w:fill="CFF0FC"/>
          </w:tcPr>
          <w:p>
            <w:pPr>
              <w:spacing w:after="0"/>
              <w:rPr>
                <w:sz w:val="15"/>
                <w:szCs w:val="15"/>
                <w:color w:val="auto"/>
              </w:rPr>
            </w:pPr>
          </w:p>
        </w:tc>
      </w:tr>
      <w:tr>
        <w:trPr>
          <w:trHeight w:val="180"/>
        </w:trPr>
        <w:tc>
          <w:tcPr>
            <w:tcW w:w="624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Trust and investment services</w:t>
            </w:r>
          </w:p>
        </w:tc>
        <w:tc>
          <w:tcPr>
            <w:tcW w:w="78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13,729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12,556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11,518</w:t>
            </w: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Bankcard services</w:t>
            </w:r>
          </w:p>
        </w:tc>
        <w:tc>
          <w:tcPr>
            <w:tcW w:w="7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1,652</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1,627</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1,470</w:t>
            </w:r>
          </w:p>
        </w:tc>
      </w:tr>
      <w:tr>
        <w:trPr>
          <w:trHeight w:val="180"/>
        </w:trPr>
        <w:tc>
          <w:tcPr>
            <w:tcW w:w="624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Gain on sale of other investments</w:t>
            </w:r>
          </w:p>
        </w:tc>
        <w:tc>
          <w:tcPr>
            <w:tcW w:w="780" w:type="dxa"/>
            <w:vAlign w:val="bottom"/>
          </w:tcPr>
          <w:p>
            <w:pPr>
              <w:spacing w:after="0"/>
              <w:rPr>
                <w:sz w:val="15"/>
                <w:szCs w:val="15"/>
                <w:color w:val="auto"/>
              </w:rPr>
            </w:pPr>
          </w:p>
        </w:tc>
        <w:tc>
          <w:tcPr>
            <w:tcW w:w="5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2,575</w:t>
            </w:r>
          </w:p>
        </w:tc>
        <w:tc>
          <w:tcPr>
            <w:tcW w:w="30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4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7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8,720</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9,602</w:t>
            </w: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7,546</w:t>
            </w:r>
          </w:p>
        </w:tc>
      </w:tr>
      <w:tr>
        <w:trPr>
          <w:trHeight w:val="180"/>
        </w:trPr>
        <w:tc>
          <w:tcPr>
            <w:tcW w:w="624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Noninterest Income (in-scope of Topic 606)</w:t>
            </w:r>
          </w:p>
        </w:tc>
        <w:tc>
          <w:tcPr>
            <w:tcW w:w="78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44,471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46,579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41,916</w:t>
            </w: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Noninterest Income (out-of-scope of Topic 606)</w:t>
            </w:r>
          </w:p>
        </w:tc>
        <w:tc>
          <w:tcPr>
            <w:tcW w:w="7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10,003</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12,751</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8,073</w:t>
            </w:r>
          </w:p>
        </w:tc>
      </w:tr>
      <w:tr>
        <w:trPr>
          <w:trHeight w:val="180"/>
        </w:trPr>
        <w:tc>
          <w:tcPr>
            <w:tcW w:w="624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780" w:type="dxa"/>
            <w:vAlign w:val="bottom"/>
          </w:tcPr>
          <w:p>
            <w:pPr>
              <w:jc w:val="right"/>
              <w:ind w:right="62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54,474</w:t>
            </w:r>
          </w:p>
        </w:tc>
        <w:tc>
          <w:tcPr>
            <w:tcW w:w="80" w:type="dxa"/>
            <w:vAlign w:val="bottom"/>
          </w:tcPr>
          <w:p>
            <w:pPr>
              <w:spacing w:after="0"/>
              <w:rPr>
                <w:sz w:val="15"/>
                <w:szCs w:val="15"/>
                <w:color w:val="auto"/>
              </w:rPr>
            </w:pPr>
          </w:p>
        </w:tc>
        <w:tc>
          <w:tcPr>
            <w:tcW w:w="48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59,330</w:t>
            </w:r>
          </w:p>
        </w:tc>
        <w:tc>
          <w:tcPr>
            <w:tcW w:w="240" w:type="dxa"/>
            <w:vAlign w:val="bottom"/>
          </w:tcPr>
          <w:p>
            <w:pPr>
              <w:spacing w:after="0"/>
              <w:rPr>
                <w:sz w:val="15"/>
                <w:szCs w:val="15"/>
                <w:color w:val="auto"/>
              </w:rPr>
            </w:pPr>
          </w:p>
        </w:tc>
        <w:tc>
          <w:tcPr>
            <w:tcW w:w="3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49,989</w:t>
            </w:r>
          </w:p>
        </w:tc>
        <w:tc>
          <w:tcPr>
            <w:tcW w:w="80" w:type="dxa"/>
            <w:vAlign w:val="bottom"/>
          </w:tcPr>
          <w:p>
            <w:pPr>
              <w:spacing w:after="0"/>
              <w:rPr>
                <w:sz w:val="15"/>
                <w:szCs w:val="15"/>
                <w:color w:val="auto"/>
              </w:rPr>
            </w:pPr>
          </w:p>
        </w:tc>
      </w:tr>
      <w:tr>
        <w:trPr>
          <w:trHeight w:val="20"/>
        </w:trPr>
        <w:tc>
          <w:tcPr>
            <w:tcW w:w="6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Contract Acquisition Costs</w:t>
      </w:r>
    </w:p>
    <w:p>
      <w:pPr>
        <w:spacing w:after="0" w:line="154" w:lineRule="exact"/>
        <w:rPr>
          <w:sz w:val="20"/>
          <w:szCs w:val="20"/>
          <w:color w:val="auto"/>
        </w:rPr>
      </w:pPr>
    </w:p>
    <w:p>
      <w:pPr>
        <w:ind w:left="20" w:firstLine="588"/>
        <w:spacing w:after="0" w:line="241" w:lineRule="auto"/>
        <w:rPr>
          <w:sz w:val="20"/>
          <w:szCs w:val="20"/>
          <w:color w:val="auto"/>
        </w:rPr>
      </w:pPr>
      <w:r>
        <w:rPr>
          <w:rFonts w:ascii="Times New Roman" w:cs="Times New Roman" w:eastAsia="Times New Roman" w:hAnsi="Times New Roman"/>
          <w:sz w:val="16"/>
          <w:szCs w:val="16"/>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23. CONDENSED FINANCIAL INFORMATION OF PARENT COMPANY</w:t>
      </w:r>
    </w:p>
    <w:p>
      <w:pPr>
        <w:spacing w:after="0" w:line="154" w:lineRule="exact"/>
        <w:rPr>
          <w:sz w:val="20"/>
          <w:szCs w:val="20"/>
          <w:color w:val="auto"/>
        </w:rPr>
      </w:pPr>
    </w:p>
    <w:p>
      <w:pPr>
        <w:ind w:left="20" w:right="40" w:firstLine="588"/>
        <w:spacing w:after="0" w:line="259" w:lineRule="auto"/>
        <w:rPr>
          <w:sz w:val="20"/>
          <w:szCs w:val="20"/>
          <w:color w:val="auto"/>
        </w:rPr>
      </w:pPr>
      <w:r>
        <w:rPr>
          <w:rFonts w:ascii="Times New Roman" w:cs="Times New Roman" w:eastAsia="Times New Roman" w:hAnsi="Times New Roman"/>
          <w:sz w:val="16"/>
          <w:szCs w:val="16"/>
          <w:color w:val="auto"/>
        </w:rPr>
        <w:t>The following tables provide the parent company only condensed balance sheets, condensed statements of earnings and condensed statements of cash flows for the periods presented.</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BALANCE SHEETS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center"/>
              <w:ind w:left="523"/>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1"/>
        </w:trPr>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43"/>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422"/>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Assets</w:t>
            </w:r>
          </w:p>
        </w:tc>
        <w:tc>
          <w:tcPr>
            <w:tcW w:w="2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Investment in subsidiaries</w:t>
            </w:r>
          </w:p>
        </w:tc>
        <w:tc>
          <w:tcPr>
            <w:tcW w:w="3080" w:type="dxa"/>
            <w:vAlign w:val="bottom"/>
            <w:gridSpan w:val="2"/>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2,162,877</w:t>
            </w:r>
          </w:p>
        </w:tc>
        <w:tc>
          <w:tcPr>
            <w:tcW w:w="660" w:type="dxa"/>
            <w:vAlign w:val="bottom"/>
            <w:gridSpan w:val="2"/>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2,061,860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4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Other assets, net</w:t>
            </w:r>
          </w:p>
        </w:tc>
        <w:tc>
          <w:tcPr>
            <w:tcW w:w="2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66,812</w:t>
            </w: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60,177</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3080" w:type="dxa"/>
            <w:vAlign w:val="bottom"/>
            <w:gridSpan w:val="2"/>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2,229,689</w:t>
            </w:r>
          </w:p>
        </w:tc>
        <w:tc>
          <w:tcPr>
            <w:tcW w:w="660" w:type="dxa"/>
            <w:vAlign w:val="bottom"/>
            <w:gridSpan w:val="2"/>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2,122,037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37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Liabilities</w:t>
            </w:r>
          </w:p>
        </w:tc>
        <w:tc>
          <w:tcPr>
            <w:tcW w:w="278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4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31,414</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26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31,376</w:t>
            </w:r>
          </w:p>
        </w:tc>
        <w:tc>
          <w:tcPr>
            <w:tcW w:w="80" w:type="dxa"/>
            <w:vAlign w:val="bottom"/>
            <w:shd w:val="clear" w:color="auto" w:fill="CFF0FC"/>
          </w:tcPr>
          <w:p>
            <w:pPr>
              <w:spacing w:after="0"/>
              <w:rPr>
                <w:sz w:val="13"/>
                <w:szCs w:val="13"/>
                <w:color w:val="auto"/>
              </w:rPr>
            </w:pPr>
          </w:p>
        </w:tc>
        <w:tc>
          <w:tcPr>
            <w:tcW w:w="520" w:type="dxa"/>
            <w:vAlign w:val="bottom"/>
          </w:tcPr>
          <w:p>
            <w:pPr>
              <w:spacing w:after="0"/>
              <w:rPr>
                <w:sz w:val="13"/>
                <w:szCs w:val="13"/>
                <w:color w:val="auto"/>
              </w:rPr>
            </w:pPr>
          </w:p>
        </w:tc>
      </w:tr>
      <w:tr>
        <w:trPr>
          <w:trHeight w:val="228"/>
        </w:trPr>
        <w:tc>
          <w:tcPr>
            <w:tcW w:w="5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2,198,275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2,090,661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0"/>
        </w:trPr>
        <w:tc>
          <w:tcPr>
            <w:tcW w:w="540" w:type="dxa"/>
            <w:vAlign w:val="bottom"/>
          </w:tcPr>
          <w:p>
            <w:pPr>
              <w:spacing w:after="0"/>
              <w:rPr>
                <w:sz w:val="19"/>
                <w:szCs w:val="19"/>
                <w:color w:val="auto"/>
              </w:rPr>
            </w:pPr>
          </w:p>
        </w:tc>
        <w:tc>
          <w:tcPr>
            <w:tcW w:w="3740" w:type="dxa"/>
            <w:vAlign w:val="bottom"/>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80" w:type="dxa"/>
            <w:vAlign w:val="bottom"/>
            <w:gridSpan w:val="2"/>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2,229,689</w:t>
            </w:r>
          </w:p>
        </w:tc>
        <w:tc>
          <w:tcPr>
            <w:tcW w:w="660" w:type="dxa"/>
            <w:vAlign w:val="bottom"/>
            <w:gridSpan w:val="2"/>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2,122,037</w:t>
            </w:r>
          </w:p>
        </w:tc>
        <w:tc>
          <w:tcPr>
            <w:tcW w:w="80" w:type="dxa"/>
            <w:vAlign w:val="bottom"/>
            <w:shd w:val="clear" w:color="auto" w:fill="CFF0FC"/>
          </w:tcPr>
          <w:p>
            <w:pPr>
              <w:spacing w:after="0"/>
              <w:rPr>
                <w:sz w:val="19"/>
                <w:szCs w:val="19"/>
                <w:color w:val="auto"/>
              </w:rPr>
            </w:pPr>
          </w:p>
        </w:tc>
        <w:tc>
          <w:tcPr>
            <w:tcW w:w="520" w:type="dxa"/>
            <w:vAlign w:val="bottom"/>
          </w:tcPr>
          <w:p>
            <w:pPr>
              <w:spacing w:after="0"/>
              <w:rPr>
                <w:sz w:val="19"/>
                <w:szCs w:val="19"/>
                <w:color w:val="auto"/>
              </w:rPr>
            </w:pPr>
          </w:p>
        </w:tc>
      </w:tr>
      <w:tr>
        <w:trPr>
          <w:trHeight w:val="442"/>
        </w:trPr>
        <w:tc>
          <w:tcPr>
            <w:tcW w:w="540" w:type="dxa"/>
            <w:vAlign w:val="bottom"/>
          </w:tcPr>
          <w:p>
            <w:pPr>
              <w:spacing w:after="0"/>
              <w:rPr>
                <w:sz w:val="24"/>
                <w:szCs w:val="24"/>
                <w:color w:val="auto"/>
              </w:rPr>
            </w:pPr>
          </w:p>
        </w:tc>
        <w:tc>
          <w:tcPr>
            <w:tcW w:w="3740" w:type="dxa"/>
            <w:vAlign w:val="bottom"/>
            <w:tcBorders>
              <w:top w:val="single" w:sz="8" w:color="CFF0FC"/>
            </w:tcBorders>
          </w:tcPr>
          <w:p>
            <w:pPr>
              <w:spacing w:after="0"/>
              <w:rPr>
                <w:sz w:val="24"/>
                <w:szCs w:val="24"/>
                <w:color w:val="auto"/>
              </w:rPr>
            </w:pPr>
          </w:p>
        </w:tc>
        <w:tc>
          <w:tcPr>
            <w:tcW w:w="2780" w:type="dxa"/>
            <w:vAlign w:val="bottom"/>
            <w:tcBorders>
              <w:top w:val="single" w:sz="8" w:color="CFF0FC"/>
            </w:tcBorders>
          </w:tcPr>
          <w:p>
            <w:pPr>
              <w:jc w:val="right"/>
              <w:ind w:right="1582"/>
              <w:spacing w:after="0"/>
              <w:rPr>
                <w:sz w:val="20"/>
                <w:szCs w:val="20"/>
                <w:color w:val="auto"/>
              </w:rPr>
            </w:pPr>
            <w:r>
              <w:rPr>
                <w:rFonts w:ascii="Times New Roman" w:cs="Times New Roman" w:eastAsia="Times New Roman" w:hAnsi="Times New Roman"/>
                <w:sz w:val="16"/>
                <w:szCs w:val="16"/>
                <w:color w:val="auto"/>
              </w:rPr>
              <w:t>142</w:t>
            </w: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r>
      <w:tr>
        <w:trPr>
          <w:trHeight w:val="782"/>
        </w:trPr>
        <w:tc>
          <w:tcPr>
            <w:tcW w:w="540" w:type="dxa"/>
            <w:vAlign w:val="bottom"/>
            <w:tcBorders>
              <w:bottom w:val="single" w:sz="8" w:color="EEEEEE"/>
            </w:tcBorders>
          </w:tcPr>
          <w:p>
            <w:pPr>
              <w:spacing w:after="0"/>
              <w:rPr>
                <w:sz w:val="24"/>
                <w:szCs w:val="24"/>
                <w:color w:val="auto"/>
              </w:rPr>
            </w:pPr>
          </w:p>
        </w:tc>
        <w:tc>
          <w:tcPr>
            <w:tcW w:w="3740" w:type="dxa"/>
            <w:vAlign w:val="bottom"/>
            <w:tcBorders>
              <w:bottom w:val="single" w:sz="8" w:color="EEEEEE"/>
            </w:tcBorders>
          </w:tcPr>
          <w:p>
            <w:pPr>
              <w:spacing w:after="0"/>
              <w:rPr>
                <w:sz w:val="24"/>
                <w:szCs w:val="24"/>
                <w:color w:val="auto"/>
              </w:rPr>
            </w:pPr>
          </w:p>
        </w:tc>
        <w:tc>
          <w:tcPr>
            <w:tcW w:w="27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6"/>
          <w:szCs w:val="16"/>
          <w:b w:val="1"/>
          <w:bCs w:val="1"/>
          <w:color w:val="auto"/>
        </w:rPr>
        <w:t>CVB FINANCIAL CORP.</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STATEMENTS OF EARNINGS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7"/>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02"/>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82"/>
              <w:spacing w:after="0" w:line="181" w:lineRule="exact"/>
              <w:rPr>
                <w:sz w:val="20"/>
                <w:szCs w:val="20"/>
                <w:color w:val="auto"/>
              </w:rPr>
            </w:pPr>
            <w:r>
              <w:rPr>
                <w:rFonts w:ascii="Times New Roman" w:cs="Times New Roman" w:eastAsia="Times New Roman" w:hAnsi="Times New Roman"/>
                <w:sz w:val="16"/>
                <w:szCs w:val="16"/>
                <w:b w:val="1"/>
                <w:bCs w:val="1"/>
                <w:color w:val="auto"/>
                <w:w w:val="93"/>
              </w:rPr>
              <w:t>2023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22"/>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Equity in undistributed earnings of subsidiaries</w:t>
            </w:r>
          </w:p>
        </w:tc>
        <w:tc>
          <w:tcPr>
            <w:tcW w:w="220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89,511</w:t>
            </w:r>
          </w:p>
        </w:tc>
        <w:tc>
          <w:tcPr>
            <w:tcW w:w="1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99,932</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45,512</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Dividends from the Bank</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117,000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127,000</w:t>
            </w:r>
          </w:p>
        </w:tc>
        <w:tc>
          <w:tcPr>
            <w:tcW w:w="26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195,000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expense, net</w:t>
            </w:r>
          </w:p>
        </w:tc>
        <w:tc>
          <w:tcPr>
            <w:tcW w:w="1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(6,525)</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7,192</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(5,087)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Net earnings</w:t>
            </w:r>
          </w:p>
        </w:tc>
        <w:tc>
          <w:tcPr>
            <w:tcW w:w="1960" w:type="dxa"/>
            <w:vAlign w:val="bottom"/>
          </w:tcPr>
          <w:p>
            <w:pPr>
              <w:spacing w:after="0"/>
              <w:rPr>
                <w:sz w:val="15"/>
                <w:szCs w:val="15"/>
                <w:color w:val="auto"/>
              </w:rPr>
            </w:pP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199,986</w:t>
            </w:r>
          </w:p>
        </w:tc>
        <w:tc>
          <w:tcPr>
            <w:tcW w:w="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234,124</w:t>
            </w:r>
          </w:p>
        </w:tc>
        <w:tc>
          <w:tcPr>
            <w:tcW w:w="2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235,425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CVB FINANCIAL CORP.</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6820" w:type="dxa"/>
            <w:vAlign w:val="bottom"/>
            <w:gridSpan w:val="5"/>
          </w:tcPr>
          <w:p>
            <w:pPr>
              <w:jc w:val="center"/>
              <w:ind w:left="2602"/>
              <w:spacing w:after="0"/>
              <w:rPr>
                <w:sz w:val="20"/>
                <w:szCs w:val="20"/>
                <w:color w:val="auto"/>
              </w:rPr>
            </w:pPr>
            <w:r>
              <w:rPr>
                <w:rFonts w:ascii="Times New Roman" w:cs="Times New Roman" w:eastAsia="Times New Roman" w:hAnsi="Times New Roman"/>
                <w:sz w:val="16"/>
                <w:szCs w:val="16"/>
                <w:b w:val="1"/>
                <w:bCs w:val="1"/>
                <w:color w:val="auto"/>
                <w:w w:val="97"/>
              </w:rPr>
              <w:t>CONDENSED STATEMENTS OF CASH FLOWS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7"/>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02"/>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82"/>
              <w:spacing w:after="0" w:line="181" w:lineRule="exact"/>
              <w:rPr>
                <w:sz w:val="20"/>
                <w:szCs w:val="20"/>
                <w:color w:val="auto"/>
              </w:rPr>
            </w:pPr>
            <w:r>
              <w:rPr>
                <w:rFonts w:ascii="Times New Roman" w:cs="Times New Roman" w:eastAsia="Times New Roman" w:hAnsi="Times New Roman"/>
                <w:sz w:val="16"/>
                <w:szCs w:val="16"/>
                <w:b w:val="1"/>
                <w:bCs w:val="1"/>
                <w:color w:val="auto"/>
                <w:w w:val="93"/>
              </w:rPr>
              <w:t>2023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22"/>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Net earnings</w:t>
            </w:r>
          </w:p>
        </w:tc>
        <w:tc>
          <w:tcPr>
            <w:tcW w:w="220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199,986</w:t>
            </w:r>
          </w:p>
        </w:tc>
        <w:tc>
          <w:tcPr>
            <w:tcW w:w="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234,124</w:t>
            </w:r>
          </w:p>
        </w:tc>
        <w:tc>
          <w:tcPr>
            <w:tcW w:w="2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235,425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3660" w:type="dxa"/>
            <w:vAlign w:val="bottom"/>
            <w:shd w:val="clear" w:color="auto" w:fill="CFF0FC"/>
          </w:tcPr>
          <w:p>
            <w:pPr>
              <w:ind w:left="160"/>
              <w:spacing w:after="0" w:line="167" w:lineRule="exact"/>
              <w:rPr>
                <w:sz w:val="20"/>
                <w:szCs w:val="20"/>
                <w:color w:val="auto"/>
              </w:rPr>
            </w:pPr>
            <w:r>
              <w:rPr>
                <w:rFonts w:ascii="Times New Roman" w:cs="Times New Roman" w:eastAsia="Times New Roman" w:hAnsi="Times New Roman"/>
                <w:sz w:val="16"/>
                <w:szCs w:val="16"/>
                <w:color w:val="auto"/>
              </w:rPr>
              <w:t>Adjustments to reconcile net earnings to cash used in</w:t>
            </w:r>
          </w:p>
        </w:tc>
        <w:tc>
          <w:tcPr>
            <w:tcW w:w="1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40" w:type="dxa"/>
            <w:vAlign w:val="bottom"/>
          </w:tcPr>
          <w:p>
            <w:pPr>
              <w:spacing w:after="0"/>
              <w:rPr>
                <w:sz w:val="16"/>
                <w:szCs w:val="16"/>
                <w:color w:val="auto"/>
              </w:rPr>
            </w:pPr>
          </w:p>
        </w:tc>
        <w:tc>
          <w:tcPr>
            <w:tcW w:w="3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operating activities:</w:t>
            </w:r>
          </w:p>
        </w:tc>
        <w:tc>
          <w:tcPr>
            <w:tcW w:w="1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Earnings of subsidiaries</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(206,511)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(226,932)</w:t>
            </w:r>
          </w:p>
        </w:tc>
        <w:tc>
          <w:tcPr>
            <w:tcW w:w="260" w:type="dxa"/>
            <w:vAlign w:val="bottom"/>
          </w:tcPr>
          <w:p>
            <w:pPr>
              <w:spacing w:after="0"/>
              <w:rPr>
                <w:sz w:val="15"/>
                <w:szCs w:val="15"/>
                <w:color w:val="auto"/>
              </w:rPr>
            </w:pPr>
          </w:p>
        </w:tc>
        <w:tc>
          <w:tcPr>
            <w:tcW w:w="9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(240,512)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Tax settlement received from the Bank</w:t>
            </w:r>
          </w:p>
        </w:tc>
        <w:tc>
          <w:tcPr>
            <w:tcW w:w="1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2,265</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Stock-based compensation</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9,439</w:t>
            </w:r>
          </w:p>
        </w:tc>
        <w:tc>
          <w:tcPr>
            <w:tcW w:w="26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7,901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operating activities, net</w:t>
            </w:r>
          </w:p>
        </w:tc>
        <w:tc>
          <w:tcPr>
            <w:tcW w:w="1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(1,367)</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(1,797)</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(1,136)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Total adjustments</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(197,219)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(217,025)</w:t>
            </w:r>
          </w:p>
        </w:tc>
        <w:tc>
          <w:tcPr>
            <w:tcW w:w="260" w:type="dxa"/>
            <w:vAlign w:val="bottom"/>
          </w:tcPr>
          <w:p>
            <w:pPr>
              <w:spacing w:after="0"/>
              <w:rPr>
                <w:sz w:val="15"/>
                <w:szCs w:val="15"/>
                <w:color w:val="auto"/>
              </w:rPr>
            </w:pPr>
          </w:p>
        </w:tc>
        <w:tc>
          <w:tcPr>
            <w:tcW w:w="9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(233,747)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ind w:left="640"/>
              <w:spacing w:after="0" w:line="180"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1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2,767</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17,099</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1,678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Dividends received from the Bank</w:t>
            </w:r>
          </w:p>
        </w:tc>
        <w:tc>
          <w:tcPr>
            <w:tcW w:w="1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117,000</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127,000</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195,000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tcPr>
          <w:p>
            <w:pPr>
              <w:ind w:left="640"/>
              <w:spacing w:after="0" w:line="180" w:lineRule="exact"/>
              <w:rPr>
                <w:sz w:val="20"/>
                <w:szCs w:val="20"/>
                <w:color w:val="auto"/>
              </w:rPr>
            </w:pPr>
            <w:r>
              <w:rPr>
                <w:rFonts w:ascii="Times New Roman" w:cs="Times New Roman" w:eastAsia="Times New Roman" w:hAnsi="Times New Roman"/>
                <w:sz w:val="16"/>
                <w:szCs w:val="16"/>
                <w:color w:val="auto"/>
              </w:rPr>
              <w:t>Net cash provided by investing activities</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117,000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127,000</w:t>
            </w:r>
          </w:p>
        </w:tc>
        <w:tc>
          <w:tcPr>
            <w:tcW w:w="26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195,000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Repayment of junior subordinated debentures</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Cash dividends on common stock</w:t>
            </w:r>
          </w:p>
        </w:tc>
        <w:tc>
          <w:tcPr>
            <w:tcW w:w="1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(111,830)</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(111,686)</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(104,439)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Proceeds from exercise of stock options</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1,923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Repurchase of common stock</w:t>
            </w:r>
          </w:p>
        </w:tc>
        <w:tc>
          <w:tcPr>
            <w:tcW w:w="1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(2,817)</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(21,216)</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(46,330)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Repurchase of common stock, ASR</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0"/>
              <w:spacing w:after="0" w:line="240" w:lineRule="exact"/>
              <w:rPr>
                <w:sz w:val="20"/>
                <w:szCs w:val="20"/>
                <w:color w:val="auto"/>
              </w:rPr>
            </w:pPr>
            <w:r>
              <w:rPr>
                <w:rFonts w:ascii="Times New Roman" w:cs="Times New Roman" w:eastAsia="Times New Roman" w:hAnsi="Times New Roman"/>
                <w:sz w:val="14"/>
                <w:szCs w:val="14"/>
                <w:color w:val="auto"/>
              </w:rPr>
              <w:t>(70,000</w:t>
            </w:r>
            <w:r>
              <w:rPr>
                <w:rFonts w:ascii="Times New Roman" w:cs="Times New Roman" w:eastAsia="Times New Roman" w:hAnsi="Times New Roman"/>
                <w:sz w:val="27"/>
                <w:szCs w:val="27"/>
                <w:color w:val="auto"/>
                <w:vertAlign w:val="superscript"/>
              </w:rPr>
              <w:t>)</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ind w:left="640"/>
              <w:spacing w:after="0" w:line="180" w:lineRule="exact"/>
              <w:rPr>
                <w:sz w:val="20"/>
                <w:szCs w:val="20"/>
                <w:color w:val="auto"/>
              </w:rPr>
            </w:pPr>
            <w:r>
              <w:rPr>
                <w:rFonts w:ascii="Times New Roman" w:cs="Times New Roman" w:eastAsia="Times New Roman" w:hAnsi="Times New Roman"/>
                <w:sz w:val="16"/>
                <w:szCs w:val="16"/>
                <w:color w:val="auto"/>
              </w:rPr>
              <w:t>Net cash used in financing activities</w:t>
            </w:r>
          </w:p>
        </w:tc>
        <w:tc>
          <w:tcPr>
            <w:tcW w:w="1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(114,082)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(132,692)</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(218,846)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5,685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11,407</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(22,168)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1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50,692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39,285</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61,453</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20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56,377</w:t>
            </w:r>
          </w:p>
        </w:tc>
        <w:tc>
          <w:tcPr>
            <w:tcW w:w="100" w:type="dxa"/>
            <w:vAlign w:val="bottom"/>
          </w:tcPr>
          <w:p>
            <w:pPr>
              <w:spacing w:after="0"/>
              <w:rPr>
                <w:sz w:val="15"/>
                <w:szCs w:val="15"/>
                <w:color w:val="auto"/>
              </w:rPr>
            </w:pPr>
          </w:p>
        </w:tc>
        <w:tc>
          <w:tcPr>
            <w:tcW w:w="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50,692</w:t>
            </w:r>
          </w:p>
        </w:tc>
        <w:tc>
          <w:tcPr>
            <w:tcW w:w="200" w:type="dxa"/>
            <w:vAlign w:val="bottom"/>
          </w:tcPr>
          <w:p>
            <w:pPr>
              <w:spacing w:after="0"/>
              <w:rPr>
                <w:sz w:val="15"/>
                <w:szCs w:val="15"/>
                <w:color w:val="auto"/>
              </w:rPr>
            </w:pPr>
          </w:p>
        </w:tc>
        <w:tc>
          <w:tcPr>
            <w:tcW w:w="2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39,285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60" w:type="dxa"/>
            <w:vAlign w:val="bottom"/>
            <w:vMerge w:val="restart"/>
          </w:tcPr>
          <w:p>
            <w:pPr>
              <w:jc w:val="center"/>
              <w:ind w:left="122"/>
              <w:spacing w:after="0"/>
              <w:rPr>
                <w:sz w:val="20"/>
                <w:szCs w:val="20"/>
                <w:color w:val="auto"/>
              </w:rPr>
            </w:pPr>
            <w:r>
              <w:rPr>
                <w:rFonts w:ascii="Times New Roman" w:cs="Times New Roman" w:eastAsia="Times New Roman" w:hAnsi="Times New Roman"/>
                <w:sz w:val="16"/>
                <w:szCs w:val="16"/>
                <w:color w:val="auto"/>
                <w:w w:val="99"/>
              </w:rPr>
              <w:t>143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540" w:type="dxa"/>
            <w:vAlign w:val="bottom"/>
            <w:tcBorders>
              <w:bottom w:val="single" w:sz="8" w:color="EEEEEE"/>
            </w:tcBorders>
          </w:tcPr>
          <w:p>
            <w:pPr>
              <w:spacing w:after="0"/>
              <w:rPr>
                <w:sz w:val="24"/>
                <w:szCs w:val="24"/>
                <w:color w:val="auto"/>
              </w:rPr>
            </w:pPr>
          </w:p>
        </w:tc>
        <w:tc>
          <w:tcPr>
            <w:tcW w:w="3660" w:type="dxa"/>
            <w:vAlign w:val="bottom"/>
            <w:tcBorders>
              <w:bottom w:val="single" w:sz="8" w:color="EEEEEE"/>
            </w:tcBorders>
          </w:tcPr>
          <w:p>
            <w:pPr>
              <w:spacing w:after="0"/>
              <w:rPr>
                <w:sz w:val="24"/>
                <w:szCs w:val="24"/>
                <w:color w:val="auto"/>
              </w:rPr>
            </w:pPr>
          </w:p>
        </w:tc>
        <w:tc>
          <w:tcPr>
            <w:tcW w:w="19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144" w:name="page145"/>
    <w:bookmarkEnd w:id="144"/>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24. SUBSEQUENT EVENTS</w:t>
      </w:r>
    </w:p>
    <w:p>
      <w:pPr>
        <w:spacing w:after="0" w:line="174" w:lineRule="exact"/>
        <w:rPr>
          <w:sz w:val="20"/>
          <w:szCs w:val="20"/>
          <w:color w:val="auto"/>
        </w:rPr>
      </w:pPr>
    </w:p>
    <w:p>
      <w:pPr>
        <w:ind w:left="2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Sale of other real estate owned (“OREO”) properties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Subsequent to December 31, 2024, four OREO properties with a total book value of $19.3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had been sold as of the date of this Report on Form 10-K. These sales resulted in gains on sale of approximately $2.0 million.</w:t>
      </w:r>
    </w:p>
    <w:p>
      <w:pPr>
        <w:spacing w:after="0" w:line="139" w:lineRule="exact"/>
        <w:rPr>
          <w:sz w:val="20"/>
          <w:szCs w:val="20"/>
          <w:color w:val="auto"/>
        </w:rPr>
      </w:pPr>
    </w:p>
    <w:p>
      <w:pPr>
        <w:ind w:left="20" w:right="340" w:firstLine="588"/>
        <w:spacing w:after="0" w:line="259" w:lineRule="auto"/>
        <w:rPr>
          <w:sz w:val="20"/>
          <w:szCs w:val="20"/>
          <w:color w:val="auto"/>
        </w:rPr>
      </w:pPr>
      <w:r>
        <w:rPr>
          <w:rFonts w:ascii="Times New Roman" w:cs="Times New Roman" w:eastAsia="Times New Roman" w:hAnsi="Times New Roman"/>
          <w:sz w:val="16"/>
          <w:szCs w:val="16"/>
          <w:color w:val="auto"/>
        </w:rPr>
        <w:t>We have evaluated events that have occurred subsequent to December 31, 2024 and have concluded there are no subsequent events that would require recognition in the accompanying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640" w:top="1440" w:right="920"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CVB Financial Corp.: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 on the Consolidated Financial Statements</w:t>
      </w:r>
    </w:p>
    <w:p>
      <w:pPr>
        <w:spacing w:after="0" w:line="17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CVB Financial Corp. and subsidiaries (the Company) as of December 31, 2024 and 2023, the related consolidated statements of earnings and comprehensive income,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5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28, 2025 expressed an unqualified opinion on the effectiveness of the Company’s internal control over financial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7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w:t>
      </w:r>
    </w:p>
    <w:p>
      <w:pPr>
        <w:spacing w:after="0" w:line="178"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Assessment of the allowance for credit losses for loans evaluated on a collective basis using the Commercial Real Estate methodology</w:t>
      </w:r>
    </w:p>
    <w:p>
      <w:pPr>
        <w:spacing w:after="0" w:line="176" w:lineRule="exact"/>
        <w:rPr>
          <w:sz w:val="20"/>
          <w:szCs w:val="20"/>
          <w:color w:val="auto"/>
        </w:rPr>
      </w:pPr>
    </w:p>
    <w:p>
      <w:pPr>
        <w:ind w:left="480" w:right="40"/>
        <w:spacing w:after="0" w:line="238" w:lineRule="auto"/>
        <w:rPr>
          <w:sz w:val="20"/>
          <w:szCs w:val="20"/>
          <w:color w:val="auto"/>
        </w:rPr>
      </w:pPr>
      <w:r>
        <w:rPr>
          <w:rFonts w:ascii="Times New Roman" w:cs="Times New Roman" w:eastAsia="Times New Roman" w:hAnsi="Times New Roman"/>
          <w:sz w:val="16"/>
          <w:szCs w:val="16"/>
          <w:color w:val="auto"/>
        </w:rPr>
        <w:t>As discussed in Note 3 and Note 5 to the consolidated financial statements, the Company’s total allowance for credit losses as December 31, 2024, was $80.12 million, a substantial portion of which relates to the allowance for credit losses on loans evaluated on a collective basis using the commercial real estate methodology (commercial ACL). The commercial ACL includes the measure of expected credit losses on a collective basis by pooling those loans that share similar risk characteristics into segments. The commercial ACL methodology includes an estimation framework that uses loss experience of data sets of unique loans to derive lifetime loss rates at the pool level during the average life, inclusive of prepayments. The methodology to estimate the commercial ACL is largely driven by portfolio characteristics, including loss history, original loan- to-value ratios, and macroeconomic variables and the associated economic outlook. The commercial ACL incorporates a reasonable and supportable forecast of various macroeconomic variables over the remaining average life of the loan. The forecast incorporates an assumption that each</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9" w:right="660" w:bottom="1440" w:gutter="0" w:footer="0" w:header="0"/>
        </w:sectPr>
      </w:pPr>
    </w:p>
    <w:bookmarkStart w:id="146" w:name="page147"/>
    <w:bookmarkEnd w:id="146"/>
    <w:p>
      <w:pPr>
        <w:ind w:right="40"/>
        <w:spacing w:after="0" w:line="243" w:lineRule="auto"/>
        <w:rPr>
          <w:sz w:val="20"/>
          <w:szCs w:val="20"/>
          <w:color w:val="auto"/>
        </w:rPr>
      </w:pPr>
      <w:r>
        <w:rPr>
          <w:rFonts w:ascii="Times New Roman" w:cs="Times New Roman" w:eastAsia="Times New Roman" w:hAnsi="Times New Roman"/>
          <w:sz w:val="16"/>
          <w:szCs w:val="16"/>
          <w:color w:val="auto"/>
        </w:rPr>
        <w:t>macroeconomic variable will revert to a long-term expectation, starting in years 2-3, of the reasonable and supportable forecast period, with the reversion largely completed within the first five years of the forecast. The commercial ACL methodology incorporates unique macroeconomic variables based on risk drivers to the underlying portfolio. The Company reviews current conditions and forecasts to determine whether adjustments are needed to ensure that the life of loan loss rates reflect both the current state of the portfolio, and expectations for macroeconomic changes.</w:t>
      </w:r>
    </w:p>
    <w:p>
      <w:pPr>
        <w:spacing w:after="0" w:line="15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identified the assessment of the December 31, 2024 commercial ACL as a critical audit matter. A high degree of audit effort, including specialized skills and knowledge, and subjective and complex auditor judgment was involved in the assessment due to significant measurement uncertainty. Specifically, the assessment encompassed the evaluation of the commercial ACL methodology, including the method used to estimate lifetime loss rates and the key assumptions: portfolio segmentation, the economic forecast scenarios and their weightings and macroeconomic variables, and the length of the reasonable and supportable forecast period. The assessment also included the evaluation of the adjustments performed to align the life of loan loss rates with the current state of the portfolio. In addition, auditor judgment was required to evaluate the sufficiency of audit evidence obtained.</w:t>
      </w:r>
    </w:p>
    <w:p>
      <w:pPr>
        <w:spacing w:after="0" w:line="16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related to the Company’s measurement of the commercial ACL estimate, including controls over the: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•development of the commercial ACL methodology</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•development of the lifetime loss rate methodology</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•ongoing monitoring of the lifetime loss rate methodology</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•identification and determination of the key assumptions used in the lifetime loss rate methodology</w:t>
      </w:r>
    </w:p>
    <w:p>
      <w:pPr>
        <w:spacing w:after="0" w:line="92" w:lineRule="exact"/>
        <w:rPr>
          <w:sz w:val="20"/>
          <w:szCs w:val="20"/>
          <w:color w:val="auto"/>
        </w:rPr>
      </w:pPr>
    </w:p>
    <w:p>
      <w:pPr>
        <w:ind w:left="480" w:right="2460"/>
        <w:spacing w:after="0" w:line="384" w:lineRule="auto"/>
        <w:rPr>
          <w:sz w:val="20"/>
          <w:szCs w:val="20"/>
          <w:color w:val="auto"/>
        </w:rPr>
      </w:pPr>
      <w:r>
        <w:rPr>
          <w:rFonts w:ascii="Times New Roman" w:cs="Times New Roman" w:eastAsia="Times New Roman" w:hAnsi="Times New Roman"/>
          <w:sz w:val="16"/>
          <w:szCs w:val="16"/>
          <w:color w:val="auto"/>
        </w:rPr>
        <w:t>•development of the adjustments performed to align the life of loan loss rates with the current state of the portfolio •analysis of the commercial ACL results, trends, and ratios.</w:t>
      </w:r>
    </w:p>
    <w:p>
      <w:pPr>
        <w:spacing w:after="0" w:line="23" w:lineRule="exact"/>
        <w:rPr>
          <w:sz w:val="20"/>
          <w:szCs w:val="20"/>
          <w:color w:val="auto"/>
        </w:rPr>
      </w:pPr>
    </w:p>
    <w:p>
      <w:pPr>
        <w:ind w:left="480" w:right="200"/>
        <w:spacing w:after="0" w:line="247" w:lineRule="auto"/>
        <w:rPr>
          <w:sz w:val="20"/>
          <w:szCs w:val="20"/>
          <w:color w:val="auto"/>
        </w:rPr>
      </w:pPr>
      <w:r>
        <w:rPr>
          <w:rFonts w:ascii="Times New Roman" w:cs="Times New Roman" w:eastAsia="Times New Roman" w:hAnsi="Times New Roman"/>
          <w:sz w:val="16"/>
          <w:szCs w:val="16"/>
          <w:color w:val="auto"/>
        </w:rPr>
        <w:t>We evaluated the Company’s process to develop the commercial ACL estimate by testing certain sources of data, factors, and assumptions used, and considered the relevance and reliability of such data, factors, and assumptions. In addition, we involved credit risk professionals with specialized skills and knowledge, who assisted in:</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•evaluating the commercial ACL methodology for compliance with U.S. generally accepted accounting principles</w:t>
      </w:r>
    </w:p>
    <w:p>
      <w:pPr>
        <w:spacing w:after="0" w:line="92"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•evaluating judgments made relative to the development and performance monitoring of the lifetime loss rate methodology, including prepayments, by comparing them to Company-specific metrics and trends and the applicable industry and regulatory guidance</w:t>
      </w:r>
    </w:p>
    <w:p>
      <w:pPr>
        <w:spacing w:after="0" w:line="59" w:lineRule="exact"/>
        <w:rPr>
          <w:sz w:val="20"/>
          <w:szCs w:val="20"/>
          <w:color w:val="auto"/>
        </w:rPr>
      </w:pPr>
    </w:p>
    <w:p>
      <w:pPr>
        <w:ind w:left="480" w:right="220"/>
        <w:spacing w:after="0" w:line="259" w:lineRule="auto"/>
        <w:rPr>
          <w:sz w:val="20"/>
          <w:szCs w:val="20"/>
          <w:color w:val="auto"/>
        </w:rPr>
      </w:pPr>
      <w:r>
        <w:rPr>
          <w:rFonts w:ascii="Times New Roman" w:cs="Times New Roman" w:eastAsia="Times New Roman" w:hAnsi="Times New Roman"/>
          <w:sz w:val="16"/>
          <w:szCs w:val="16"/>
          <w:color w:val="auto"/>
        </w:rPr>
        <w:t>•assessing the conceptual soundness and performance of the lifetime loss rate methodology, including their key assumptions, to determine whether the methodology was suitable for its intended use</w:t>
      </w:r>
    </w:p>
    <w:p>
      <w:pPr>
        <w:spacing w:after="0" w:line="59" w:lineRule="exact"/>
        <w:rPr>
          <w:sz w:val="20"/>
          <w:szCs w:val="20"/>
          <w:color w:val="auto"/>
        </w:rPr>
      </w:pPr>
    </w:p>
    <w:p>
      <w:pPr>
        <w:ind w:left="480" w:right="480"/>
        <w:spacing w:after="0" w:line="247" w:lineRule="auto"/>
        <w:rPr>
          <w:sz w:val="20"/>
          <w:szCs w:val="20"/>
          <w:color w:val="auto"/>
        </w:rPr>
      </w:pPr>
      <w:r>
        <w:rPr>
          <w:rFonts w:ascii="Times New Roman" w:cs="Times New Roman" w:eastAsia="Times New Roman" w:hAnsi="Times New Roman"/>
          <w:sz w:val="16"/>
          <w:szCs w:val="16"/>
          <w:color w:val="auto"/>
        </w:rPr>
        <w:t>•evaluating the weighted economic forecast scenarios and underlying assumptions driving the macroeconomic variable changes, including the determination of the reasonable and supportable forecast period and weightings used by comparing it to the Company’s business environment and relevant industry practice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•determining whether the loan portfolio is segmented by similar risk characteristics by comparing to specific portfolio risk characteristics and trends</w:t>
      </w:r>
    </w:p>
    <w:p>
      <w:pPr>
        <w:spacing w:after="0" w:line="92"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6"/>
          <w:szCs w:val="16"/>
          <w:color w:val="auto"/>
        </w:rPr>
        <w:t>evaluating the methodology used to develop the adjustments and the effect of those adjustments on the commercial ACL compared with relevant credit risk factors and consistency with credit trends and identified limitations of the underlying pool level metrics.</w:t>
      </w:r>
    </w:p>
    <w:p>
      <w:pPr>
        <w:spacing w:after="0" w:line="5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488315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1140" w:top="1421" w:right="680" w:bottom="1440" w:gutter="0" w:footer="0" w:header="0"/>
        </w:sectPr>
      </w:pPr>
    </w:p>
    <w:bookmarkStart w:id="147" w:name="page148"/>
    <w:bookmarkEnd w:id="147"/>
    <w:p>
      <w:pPr>
        <w:spacing w:after="0" w:line="13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We also assessed the sufficiency of audit evidence obtained related to the December 31, 2024 commercial ACL by evaluating the:</w:t>
      </w:r>
    </w:p>
    <w:p>
      <w:pPr>
        <w:spacing w:after="0" w:line="1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•cumulative results of the audit procedures</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•qualitative aspects of the Company’s accounting practices</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•potential bias in the accounting estimate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LLP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2007.</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Irvine,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ectPr>
          <w:pgSz w:w="11900" w:h="16840" w:orient="portrait"/>
          <w:cols w:equalWidth="0" w:num="1">
            <w:col w:w="10560"/>
          </w:cols>
          <w:pgMar w:left="660" w:top="1131" w:right="680" w:bottom="1440" w:gutter="0" w:footer="0" w:header="0"/>
        </w:sectPr>
      </w:pP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Policy Number:</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Policy Owner:</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MCC Sponsor:</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Board Approval Date:</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Effective Date:</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Prior Approval:</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Risk Rating:</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Next Review:</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LEGAL-P-002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DEPARTMENT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Richard H. Wohl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11/20/2024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11/20/2024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04/26/2023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Medium/Low</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11/2026</w:t>
      </w:r>
    </w:p>
    <w:p>
      <w:pPr>
        <w:spacing w:after="0" w:line="200" w:lineRule="exact"/>
        <w:rPr>
          <w:sz w:val="20"/>
          <w:szCs w:val="20"/>
          <w:color w:val="auto"/>
        </w:rPr>
      </w:pPr>
    </w:p>
    <w:p>
      <w:pPr>
        <w:sectPr>
          <w:pgSz w:w="11900" w:h="16840" w:orient="portrait"/>
          <w:cols w:equalWidth="0" w:num="2">
            <w:col w:w="2520" w:space="720"/>
            <w:col w:w="7320"/>
          </w:cols>
          <w:pgMar w:left="660" w:top="1131" w:right="680" w:bottom="1440" w:gutter="0" w:footer="0" w:header="0"/>
          <w:type w:val="continuous"/>
        </w:sectPr>
      </w:pPr>
    </w:p>
    <w:p>
      <w:pPr>
        <w:spacing w:after="0" w:line="16" w:lineRule="exact"/>
        <w:rPr>
          <w:sz w:val="20"/>
          <w:szCs w:val="20"/>
          <w:color w:val="auto"/>
        </w:rPr>
      </w:pPr>
    </w:p>
    <w:p>
      <w:pPr>
        <w:ind w:right="160" w:firstLine="696"/>
        <w:spacing w:after="0" w:line="268" w:lineRule="auto"/>
        <w:rPr>
          <w:sz w:val="20"/>
          <w:szCs w:val="20"/>
          <w:color w:val="auto"/>
        </w:rPr>
      </w:pPr>
      <w:r>
        <w:rPr>
          <w:rFonts w:ascii="Times New Roman" w:cs="Times New Roman" w:eastAsia="Times New Roman" w:hAnsi="Times New Roman"/>
          <w:sz w:val="19"/>
          <w:szCs w:val="19"/>
          <w:color w:val="auto"/>
        </w:rPr>
        <w:t>CVB Financial Corp. (“CVBF”) has adopted this Statement of Policy on Securities Trading by Company Personnel and Consultants (this “Policy Statement”) governing securities transactions by officers, directors, employees (associates) and consultants of CVBF and its subsidiaries, including Citizens Business Bank (collectively, with CVBF, the “Company”).</w:t>
      </w:r>
    </w:p>
    <w:p>
      <w:pPr>
        <w:spacing w:after="0" w:line="180" w:lineRule="exact"/>
        <w:rPr>
          <w:sz w:val="20"/>
          <w:szCs w:val="20"/>
          <w:color w:val="auto"/>
        </w:rPr>
      </w:pPr>
    </w:p>
    <w:p>
      <w:pPr>
        <w:ind w:right="40" w:firstLine="696"/>
        <w:spacing w:after="0" w:line="257" w:lineRule="auto"/>
        <w:rPr>
          <w:sz w:val="20"/>
          <w:szCs w:val="20"/>
          <w:color w:val="auto"/>
        </w:rPr>
      </w:pPr>
      <w:r>
        <w:rPr>
          <w:rFonts w:ascii="Times New Roman" w:cs="Times New Roman" w:eastAsia="Times New Roman" w:hAnsi="Times New Roman"/>
          <w:sz w:val="19"/>
          <w:szCs w:val="19"/>
          <w:color w:val="auto"/>
        </w:rPr>
        <w:t>The Insider Trading and Securities Fraud Enforcement Act (the “Act”) authorizes the Securities and Exchange Commission and the Justice Department to vigorously prosecute insider trading that is based on information acquired in the workplace and imposes substantial penalties on individuals for insider trading. In addition, the Act places direct responsibility on public companies to monitor the securities transactions of their employees. Onerous penalties may be assessed against the Company for the insider trading violations of its employees. Accordingly, if the Company does not take active steps to adopt preventive policies and procedures covering securities transactions by Company personnel, the consequences could be severe.</w:t>
      </w:r>
    </w:p>
    <w:p>
      <w:pPr>
        <w:spacing w:after="0" w:line="193" w:lineRule="exact"/>
        <w:rPr>
          <w:sz w:val="20"/>
          <w:szCs w:val="20"/>
          <w:color w:val="auto"/>
        </w:rPr>
      </w:pPr>
    </w:p>
    <w:p>
      <w:pPr>
        <w:ind w:right="80" w:firstLine="696"/>
        <w:spacing w:after="0" w:line="268" w:lineRule="auto"/>
        <w:rPr>
          <w:sz w:val="20"/>
          <w:szCs w:val="20"/>
          <w:color w:val="auto"/>
        </w:rPr>
      </w:pPr>
      <w:r>
        <w:rPr>
          <w:rFonts w:ascii="Times New Roman" w:cs="Times New Roman" w:eastAsia="Times New Roman" w:hAnsi="Times New Roman"/>
          <w:sz w:val="19"/>
          <w:szCs w:val="19"/>
          <w:color w:val="auto"/>
        </w:rPr>
        <w:t>The Company has also adopted this Policy Statement to avoid damage to its reputation for integrity and ethical conduct. We all strive to establish a reputation for observing the highest standards of conduct and even the appearance of improper conduct must be avoided.</w:t>
      </w:r>
    </w:p>
    <w:p>
      <w:pPr>
        <w:spacing w:after="0" w:line="180" w:lineRule="exact"/>
        <w:rPr>
          <w:sz w:val="20"/>
          <w:szCs w:val="20"/>
          <w:color w:val="auto"/>
        </w:rPr>
      </w:pPr>
    </w:p>
    <w:p>
      <w:pPr>
        <w:ind w:right="540" w:firstLine="696"/>
        <w:spacing w:after="0" w:line="268" w:lineRule="auto"/>
        <w:rPr>
          <w:sz w:val="20"/>
          <w:szCs w:val="20"/>
          <w:color w:val="auto"/>
        </w:rPr>
      </w:pPr>
      <w:r>
        <w:rPr>
          <w:rFonts w:ascii="Times New Roman" w:cs="Times New Roman" w:eastAsia="Times New Roman" w:hAnsi="Times New Roman"/>
          <w:sz w:val="19"/>
          <w:szCs w:val="19"/>
          <w:color w:val="auto"/>
        </w:rPr>
        <w:t>This Policy Statement is intended to cover all directors, officers, employees (associates) and consultants of the Company, except for those Sections below that are specifically designated as applicable only to members of the “Window Group” and/or to directors or executive officers who are “Section 16 Individuals” (as such terms are defined below).</w:t>
      </w:r>
    </w:p>
    <w:p>
      <w:pPr>
        <w:spacing w:after="0" w:line="180" w:lineRule="exact"/>
        <w:rPr>
          <w:sz w:val="20"/>
          <w:szCs w:val="20"/>
          <w:color w:val="auto"/>
        </w:rPr>
      </w:pPr>
    </w:p>
    <w:p>
      <w:pPr>
        <w:ind w:right="220" w:firstLine="696"/>
        <w:spacing w:after="0" w:line="286" w:lineRule="auto"/>
        <w:rPr>
          <w:sz w:val="20"/>
          <w:szCs w:val="20"/>
          <w:color w:val="auto"/>
        </w:rPr>
      </w:pPr>
      <w:r>
        <w:rPr>
          <w:rFonts w:ascii="Times New Roman" w:cs="Times New Roman" w:eastAsia="Times New Roman" w:hAnsi="Times New Roman"/>
          <w:sz w:val="19"/>
          <w:szCs w:val="19"/>
          <w:color w:val="auto"/>
        </w:rPr>
        <w:t>This Policy Statement supersedes and replaces the previous policy on the same subject matter adopted by the CVBF Board of Directors on December 15,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Consequences of Insider Trading Violations</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civil and criminal penalties for insider trading violations under the Act are as follows:</w:t>
      </w:r>
    </w:p>
    <w:p>
      <w:pPr>
        <w:spacing w:after="0" w:line="18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660400</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type w:val="continuous"/>
        </w:sectPr>
      </w:pPr>
    </w:p>
    <w:bookmarkStart w:id="149" w:name="page150"/>
    <w:bookmarkEnd w:id="149"/>
    <w:p>
      <w:pPr>
        <w:ind w:left="9720"/>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individuals who trade on inside information (or who tip information to others):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9"/>
          <w:szCs w:val="19"/>
          <w:color w:val="auto"/>
        </w:rPr>
        <w:t>A civil penalty of up to three times the profit gained or loss avoided;</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9"/>
          <w:szCs w:val="19"/>
          <w:color w:val="auto"/>
        </w:rPr>
        <w:t>A criminal fine (no matter how small the profit) of up to $5 million; and</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19"/>
          <w:szCs w:val="19"/>
          <w:color w:val="auto"/>
        </w:rPr>
        <w:t>A maximum jail term of 20 years.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 company (as well as possibly any supervisory person) that fails to take appropriate steps to prevent illegal trading:</w:t>
      </w:r>
    </w:p>
    <w:p>
      <w:pPr>
        <w:spacing w:after="0" w:line="238" w:lineRule="exact"/>
        <w:rPr>
          <w:sz w:val="20"/>
          <w:szCs w:val="20"/>
          <w:color w:val="auto"/>
        </w:rPr>
      </w:pPr>
    </w:p>
    <w:p>
      <w:pPr>
        <w:ind w:left="360" w:right="260"/>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A civil penalty of the greater of $1 million or three times the profit gained or loss avoided as a result of the employee’s violation;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and</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A maximum criminal penalty of $25 million.</w:t>
      </w:r>
    </w:p>
    <w:p>
      <w:pPr>
        <w:spacing w:after="0" w:line="238" w:lineRule="exact"/>
        <w:rPr>
          <w:sz w:val="20"/>
          <w:szCs w:val="20"/>
          <w:color w:val="auto"/>
        </w:rPr>
      </w:pPr>
    </w:p>
    <w:p>
      <w:pPr>
        <w:ind w:right="420" w:firstLine="696"/>
        <w:spacing w:after="0" w:line="262" w:lineRule="auto"/>
        <w:rPr>
          <w:sz w:val="20"/>
          <w:szCs w:val="20"/>
          <w:color w:val="auto"/>
        </w:rPr>
      </w:pPr>
      <w:r>
        <w:rPr>
          <w:rFonts w:ascii="Times New Roman" w:cs="Times New Roman" w:eastAsia="Times New Roman" w:hAnsi="Times New Roman"/>
          <w:sz w:val="19"/>
          <w:szCs w:val="19"/>
          <w:color w:val="auto"/>
        </w:rPr>
        <w:t>Moreover, any director, officer, employee or consultant of the Company who fails to comply with any of the policies or procedures set forth in this Policy Statement may be disciplined or terminated at the Company’s sole discretion, whether or not such individual’s failure to comply results in a violation of law. Needless to say, a violation of law, or even a Securities and Exchange Commission investigation that does not result in prosecution, can tarnish one’s reputation and irreparably damage a career.</w:t>
      </w:r>
    </w:p>
    <w:p>
      <w:pPr>
        <w:spacing w:after="0" w:line="186" w:lineRule="exact"/>
        <w:rPr>
          <w:sz w:val="20"/>
          <w:szCs w:val="20"/>
          <w:color w:val="auto"/>
        </w:rPr>
      </w:pPr>
    </w:p>
    <w:p>
      <w:pPr>
        <w:jc w:val="both"/>
        <w:ind w:right="120" w:firstLine="696"/>
        <w:spacing w:after="0" w:line="268" w:lineRule="auto"/>
        <w:rPr>
          <w:sz w:val="20"/>
          <w:szCs w:val="20"/>
          <w:color w:val="auto"/>
        </w:rPr>
      </w:pPr>
      <w:r>
        <w:rPr>
          <w:rFonts w:ascii="Times New Roman" w:cs="Times New Roman" w:eastAsia="Times New Roman" w:hAnsi="Times New Roman"/>
          <w:sz w:val="19"/>
          <w:szCs w:val="19"/>
          <w:color w:val="auto"/>
        </w:rPr>
        <w:t>In this regard, every officer, director, employee and consultant is responsible for the actions of his or her immediate family and personal household. Prohibited securities transactions by an officer’s spouse, for example, could have the same consequences as trading initiated directly by the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Prohibited Use of Material Information</w:t>
      </w:r>
    </w:p>
    <w:p>
      <w:pPr>
        <w:spacing w:after="0" w:line="240" w:lineRule="exact"/>
        <w:rPr>
          <w:sz w:val="20"/>
          <w:szCs w:val="20"/>
          <w:color w:val="auto"/>
        </w:rPr>
      </w:pPr>
    </w:p>
    <w:p>
      <w:pPr>
        <w:jc w:val="both"/>
        <w:ind w:right="160" w:firstLine="696"/>
        <w:spacing w:after="0" w:line="268" w:lineRule="auto"/>
        <w:rPr>
          <w:sz w:val="20"/>
          <w:szCs w:val="20"/>
          <w:color w:val="auto"/>
        </w:rPr>
      </w:pPr>
      <w:r>
        <w:rPr>
          <w:rFonts w:ascii="Times New Roman" w:cs="Times New Roman" w:eastAsia="Times New Roman" w:hAnsi="Times New Roman"/>
          <w:sz w:val="19"/>
          <w:szCs w:val="19"/>
          <w:color w:val="auto"/>
        </w:rPr>
        <w:t>If a director, officer, employee or consultant knows of material nonpublic information relating to the Company, it is our policy that neither that person nor any related person may buy or sell the Company’s securities or engage in any other action to take advantage of, or pass on to others, that information.</w:t>
      </w:r>
    </w:p>
    <w:p>
      <w:pPr>
        <w:spacing w:after="0" w:line="180" w:lineRule="exact"/>
        <w:rPr>
          <w:sz w:val="20"/>
          <w:szCs w:val="20"/>
          <w:color w:val="auto"/>
        </w:rPr>
      </w:pPr>
    </w:p>
    <w:p>
      <w:pPr>
        <w:jc w:val="both"/>
        <w:ind w:firstLine="696"/>
        <w:spacing w:after="0" w:line="262" w:lineRule="auto"/>
        <w:rPr>
          <w:sz w:val="20"/>
          <w:szCs w:val="20"/>
          <w:color w:val="auto"/>
        </w:rPr>
      </w:pPr>
      <w:r>
        <w:rPr>
          <w:rFonts w:ascii="Times New Roman" w:cs="Times New Roman" w:eastAsia="Times New Roman" w:hAnsi="Times New Roman"/>
          <w:sz w:val="19"/>
          <w:szCs w:val="19"/>
          <w:color w:val="auto"/>
        </w:rPr>
        <w:t>In addition, it is the policy of the Company that no director, officer, employee or consultant of the Company who, in the course of working for the Company, learns of material nonpublic information about another public company, including a company involved in a potential sale or acquisition, a competitor company, or a company with which the Company does business, such as a customer or supplier of the Company, may trade in that company’s securities until the information becomes public or is no longer material.</w:t>
      </w:r>
    </w:p>
    <w:p>
      <w:pPr>
        <w:spacing w:after="0" w:line="186" w:lineRule="exact"/>
        <w:rPr>
          <w:sz w:val="20"/>
          <w:szCs w:val="20"/>
          <w:color w:val="auto"/>
        </w:rPr>
      </w:pPr>
    </w:p>
    <w:p>
      <w:pPr>
        <w:ind w:right="100" w:firstLine="696"/>
        <w:spacing w:after="0" w:line="258" w:lineRule="auto"/>
        <w:rPr>
          <w:sz w:val="20"/>
          <w:szCs w:val="20"/>
          <w:color w:val="auto"/>
        </w:rPr>
      </w:pPr>
      <w:r>
        <w:rPr>
          <w:rFonts w:ascii="Times New Roman" w:cs="Times New Roman" w:eastAsia="Times New Roman" w:hAnsi="Times New Roman"/>
          <w:sz w:val="19"/>
          <w:szCs w:val="19"/>
          <w:color w:val="auto"/>
        </w:rPr>
        <w:t>Transactions that may be necessary or justifiable for independent reasons (such as the need to raise money for an emergency expenditure) are not exempt from this Policy Statement. The securities laws do not recognize such mitigating circumstances, and, in any event, even the</w:t>
      </w:r>
    </w:p>
    <w:p>
      <w:pPr>
        <w:jc w:val="center"/>
        <w:ind w:right="20"/>
        <w:spacing w:after="0" w:line="210" w:lineRule="auto"/>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661035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61"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9"/>
          <w:szCs w:val="19"/>
          <w:color w:val="auto"/>
        </w:rPr>
        <w:t>appearance of an improper transaction must be avoided to preserve the Company’s reputation for adhering to the highest standards of conduct.</w:t>
      </w:r>
    </w:p>
    <w:p>
      <w:pPr>
        <w:spacing w:after="0" w:line="179" w:lineRule="exact"/>
        <w:rPr>
          <w:sz w:val="20"/>
          <w:szCs w:val="20"/>
          <w:color w:val="auto"/>
        </w:rPr>
      </w:pPr>
    </w:p>
    <w:p>
      <w:pPr>
        <w:ind w:right="160" w:firstLine="696"/>
        <w:spacing w:after="0" w:line="262" w:lineRule="auto"/>
        <w:rPr>
          <w:sz w:val="20"/>
          <w:szCs w:val="20"/>
          <w:color w:val="auto"/>
        </w:rPr>
      </w:pPr>
      <w:r>
        <w:rPr>
          <w:rFonts w:ascii="Times New Roman" w:cs="Times New Roman" w:eastAsia="Times New Roman" w:hAnsi="Times New Roman"/>
          <w:sz w:val="19"/>
          <w:szCs w:val="19"/>
          <w:color w:val="auto"/>
        </w:rPr>
        <w:t>For purposes of this Policy Statement, “material nonpublic information” means any information that a reasonable investor would consider important in a decision to buy, hold, or sell stock of the Company or of any other company. In short, any information is material nonpublic information if it could reasonably affect the price of the stock and has not been properly disseminated to the public, including investors, analysts and the major stock exchanges on which the Company’s (or such other company’s) stock is traded.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Common examples of nonpublic information that will frequently be regarded as material are:</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Projections of future earnings or losses;</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Earnings that are inconsistent with the consensus expectations of the investment community;</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News of a pending or proposed acquisition, merger or similar transaction;</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News of a significant sale of assets or the disposition of a subsidiary;</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Changes in dividend policies, the declaration of a stock split, or the offering of additional securities;</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Entering into contracts that could lead to significant revenue;</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Changes in executive management or the board of directors;</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Institution of or changes in the status of governmental investigations, regulatory ratings, examinations or orders, or major litigation;</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Significant new products or markets;</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Impending credit, bankruptcy or financial liquidity problems involving the Company or a significant customer or counterparty; and</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The gain or loss of a substantial customer, product line, group of employees or market.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“Twenty-Twenty Hindsight”</w:t>
      </w:r>
    </w:p>
    <w:p>
      <w:pPr>
        <w:spacing w:after="0" w:line="240" w:lineRule="exact"/>
        <w:rPr>
          <w:sz w:val="20"/>
          <w:szCs w:val="20"/>
          <w:color w:val="auto"/>
        </w:rPr>
      </w:pPr>
    </w:p>
    <w:p>
      <w:pPr>
        <w:ind w:right="140" w:firstLine="696"/>
        <w:spacing w:after="0" w:line="258" w:lineRule="auto"/>
        <w:rPr>
          <w:sz w:val="20"/>
          <w:szCs w:val="20"/>
          <w:color w:val="auto"/>
        </w:rPr>
      </w:pPr>
      <w:r>
        <w:rPr>
          <w:rFonts w:ascii="Times New Roman" w:cs="Times New Roman" w:eastAsia="Times New Roman" w:hAnsi="Times New Roman"/>
          <w:sz w:val="19"/>
          <w:szCs w:val="19"/>
          <w:color w:val="auto"/>
        </w:rPr>
        <w:t>If your securities transactions become the subject of investigation, they will be reviewed by the Securities and Exchange Commission or a national securities exchange after the fact with the benefit of hindsight. Therefore, before engaging in any transaction, you may want to consult with your own attorney, in addition to following the Company’s mandatory trade pre-clearance</w:t>
      </w:r>
    </w:p>
    <w:p>
      <w:pPr>
        <w:jc w:val="center"/>
        <w:spacing w:after="0" w:line="210" w:lineRule="auto"/>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661035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policies set forth below, and to carefully consider how regulators and others might view the transaction in hindsight.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Trading After Public Announcements</w:t>
      </w:r>
    </w:p>
    <w:p>
      <w:pPr>
        <w:spacing w:after="0" w:line="240" w:lineRule="exact"/>
        <w:rPr>
          <w:sz w:val="20"/>
          <w:szCs w:val="20"/>
          <w:color w:val="auto"/>
        </w:rPr>
      </w:pPr>
    </w:p>
    <w:p>
      <w:pPr>
        <w:ind w:right="120" w:firstLine="696"/>
        <w:spacing w:after="0" w:line="256" w:lineRule="auto"/>
        <w:rPr>
          <w:sz w:val="20"/>
          <w:szCs w:val="20"/>
          <w:color w:val="auto"/>
        </w:rPr>
      </w:pPr>
      <w:r>
        <w:rPr>
          <w:rFonts w:ascii="Times New Roman" w:cs="Times New Roman" w:eastAsia="Times New Roman" w:hAnsi="Times New Roman"/>
          <w:sz w:val="19"/>
          <w:szCs w:val="19"/>
          <w:color w:val="auto"/>
        </w:rPr>
        <w:t>It is the Company’s policy that, except as discussed below under “Pre -planned Trading Programs,” no officer, director, employee or consultant, nor anyone related to any such person, may enter into a trade or make a gift or donation of Company securities immediately after the Company has publicly announced material information, including earnings releases. Because the Company’s shareholders and the investing public should be allowed time to receive the information and digest it sufficiently, as a general rule, such persons should not engage in any transactions until at least two (2) business days after the material information has been released. In certain situations, the Company may provide you with notice or otherwise instruct you that it may be necessary to delay a trade for an even longer period of time.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 Option Grants and Exercises</w:t>
      </w:r>
    </w:p>
    <w:p>
      <w:pPr>
        <w:spacing w:after="0" w:line="240" w:lineRule="exact"/>
        <w:rPr>
          <w:sz w:val="20"/>
          <w:szCs w:val="20"/>
          <w:color w:val="auto"/>
        </w:rPr>
      </w:pPr>
    </w:p>
    <w:p>
      <w:pPr>
        <w:ind w:right="20" w:firstLine="696"/>
        <w:spacing w:after="0" w:line="254" w:lineRule="auto"/>
        <w:rPr>
          <w:sz w:val="20"/>
          <w:szCs w:val="20"/>
          <w:color w:val="auto"/>
        </w:rPr>
      </w:pPr>
      <w:r>
        <w:rPr>
          <w:rFonts w:ascii="Times New Roman" w:cs="Times New Roman" w:eastAsia="Times New Roman" w:hAnsi="Times New Roman"/>
          <w:sz w:val="19"/>
          <w:szCs w:val="19"/>
          <w:color w:val="212529"/>
        </w:rPr>
        <w:t>We do not grant stock options, SAR’s or similar option like instruments in anticipation of the release of material nonpublic information that is likely to result in changes to the price of our common stock, such as a significant positive or negative earnings announcement, nor do we time the public release of such information based on stock option grant dates. In addition, we do not grant stock options, SAR’s or similar option like instruments during periods in which there is material nonpublic information about our Company, including (i) outside a “trading window” established in connection with the public release of earnings information under our Insider Trading Policy or (ii) at any time during the four business days prior to or the one business day following the filing of our periodic reports or the filing or furnishing of a Form 8-K that discloses material nonpublic information. These restrictions do not apply to restricted stock, restricted stock units, performance units, or other types of equity awards that do not include an exercise price related to the market price of our common stock on the date of grant. If stock options are granted by the Company, they are granted with an exercise price equal to the closing market price of our common stock on the date of grant.</w:t>
      </w:r>
    </w:p>
    <w:p>
      <w:pPr>
        <w:spacing w:after="0" w:line="196" w:lineRule="exact"/>
        <w:rPr>
          <w:sz w:val="20"/>
          <w:szCs w:val="20"/>
          <w:color w:val="auto"/>
        </w:rPr>
      </w:pPr>
    </w:p>
    <w:p>
      <w:pPr>
        <w:ind w:right="20" w:firstLine="696"/>
        <w:spacing w:after="0" w:line="262" w:lineRule="auto"/>
        <w:rPr>
          <w:sz w:val="20"/>
          <w:szCs w:val="20"/>
          <w:color w:val="auto"/>
        </w:rPr>
      </w:pPr>
      <w:r>
        <w:rPr>
          <w:rFonts w:ascii="Times New Roman" w:cs="Times New Roman" w:eastAsia="Times New Roman" w:hAnsi="Times New Roman"/>
          <w:sz w:val="19"/>
          <w:szCs w:val="19"/>
          <w:color w:val="auto"/>
        </w:rPr>
        <w:t>The Company’s insider trading policy does not apply to the exercise of a director, employee or consultant stock option, or to the exercise of a tax withholding right, pursuant to which you elect to have the Company withhold shares for your account subject to an option to satisfy tax withholding requirements. The policy does apply, however, to any sale of stock as part of a broker-assisted cashless exercise of an option, or any other market sale for the purpose of generating the cash needed to pay the exercise price of an option.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Pre-planned Trading Program</w:t>
      </w:r>
    </w:p>
    <w:p>
      <w:pPr>
        <w:spacing w:after="0" w:line="240" w:lineRule="exact"/>
        <w:rPr>
          <w:sz w:val="20"/>
          <w:szCs w:val="20"/>
          <w:color w:val="auto"/>
        </w:rPr>
      </w:pPr>
    </w:p>
    <w:p>
      <w:pPr>
        <w:ind w:right="80" w:firstLine="696"/>
        <w:spacing w:after="0" w:line="258" w:lineRule="auto"/>
        <w:rPr>
          <w:sz w:val="20"/>
          <w:szCs w:val="20"/>
          <w:color w:val="auto"/>
        </w:rPr>
      </w:pPr>
      <w:r>
        <w:rPr>
          <w:rFonts w:ascii="Times New Roman" w:cs="Times New Roman" w:eastAsia="Times New Roman" w:hAnsi="Times New Roman"/>
          <w:sz w:val="19"/>
          <w:szCs w:val="19"/>
          <w:color w:val="auto"/>
        </w:rPr>
        <w:t>A pre-planned trading program, if properly structured and implemented, can be a better way to facilitate trading in the Company’s securities than our regular system of trading windows and black-out periods. The Company, therefore, will permit trading in its securities under</w:t>
      </w:r>
    </w:p>
    <w:p>
      <w:pPr>
        <w:jc w:val="center"/>
        <w:spacing w:after="0" w:line="210" w:lineRule="auto"/>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661035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61" w:lineRule="exact"/>
        <w:rPr>
          <w:sz w:val="20"/>
          <w:szCs w:val="20"/>
          <w:color w:val="auto"/>
        </w:rPr>
      </w:pPr>
    </w:p>
    <w:p>
      <w:pPr>
        <w:ind w:right="380"/>
        <w:spacing w:after="0" w:line="233" w:lineRule="exact"/>
        <w:rPr>
          <w:sz w:val="20"/>
          <w:szCs w:val="20"/>
          <w:color w:val="auto"/>
        </w:rPr>
      </w:pPr>
      <w:r>
        <w:rPr>
          <w:rFonts w:ascii="Times New Roman" w:cs="Times New Roman" w:eastAsia="Times New Roman" w:hAnsi="Times New Roman"/>
          <w:sz w:val="19"/>
          <w:szCs w:val="19"/>
          <w:color w:val="auto"/>
        </w:rPr>
        <w:t>pre-planned trading programs that satisfy the requirements of Securities and Exchange Commission Rule 10b5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and the policies set forth in this Policy Statement.</w:t>
      </w:r>
    </w:p>
    <w:p>
      <w:pPr>
        <w:spacing w:after="0" w:line="205" w:lineRule="exact"/>
        <w:rPr>
          <w:sz w:val="20"/>
          <w:szCs w:val="20"/>
          <w:color w:val="auto"/>
        </w:rPr>
      </w:pPr>
    </w:p>
    <w:p>
      <w:pPr>
        <w:ind w:right="20" w:firstLine="696"/>
        <w:spacing w:after="0" w:line="256" w:lineRule="auto"/>
        <w:rPr>
          <w:sz w:val="20"/>
          <w:szCs w:val="20"/>
          <w:color w:val="auto"/>
        </w:rPr>
      </w:pPr>
      <w:r>
        <w:rPr>
          <w:rFonts w:ascii="Times New Roman" w:cs="Times New Roman" w:eastAsia="Times New Roman" w:hAnsi="Times New Roman"/>
          <w:sz w:val="19"/>
          <w:szCs w:val="19"/>
          <w:color w:val="auto"/>
        </w:rPr>
        <w:t>In December 2022, the3 SEC adopted amendments to Rule 10b5-1 designed to address what were perceived to be potentially abusive practices related to Rule 10b5-1 trading plans, certain equity awards and gifts of securities. Among other things, the amendments adopt cooling-off periods for persons other than issuers before trading can commence under a Rule 10b5- 1 plan. They also add a condition that all persons entering into a Rule 10b5-1 plan must act in good faith with respect to the plan. The amendments further provide that directors and officers must include representations in their plans certifying at the time of the adoption of a new or modified Rule 10b5-1 plan that: (1) they are not aware of any material nonpublic information about the issuer or its securities; and (2) they are adopting the plan in good faith and not as part of a plan or scheme to evade the prohibitions of Rule 10b-5.</w:t>
      </w:r>
    </w:p>
    <w:p>
      <w:pPr>
        <w:spacing w:after="0" w:line="193" w:lineRule="exact"/>
        <w:rPr>
          <w:sz w:val="20"/>
          <w:szCs w:val="20"/>
          <w:color w:val="auto"/>
        </w:rPr>
      </w:pPr>
    </w:p>
    <w:p>
      <w:pPr>
        <w:ind w:right="120" w:firstLine="696"/>
        <w:spacing w:after="0" w:line="262" w:lineRule="auto"/>
        <w:rPr>
          <w:sz w:val="20"/>
          <w:szCs w:val="20"/>
          <w:color w:val="auto"/>
        </w:rPr>
      </w:pPr>
      <w:r>
        <w:rPr>
          <w:rFonts w:ascii="Times New Roman" w:cs="Times New Roman" w:eastAsia="Times New Roman" w:hAnsi="Times New Roman"/>
          <w:sz w:val="19"/>
          <w:szCs w:val="19"/>
          <w:color w:val="auto"/>
        </w:rPr>
        <w:t>All pre- planned trading programs must be pre-cleared and coordinated with the Company as described below under “Pre-Clearance of All Trades” and “Broker Interface Procedures.” Once the pre-planned trading program has been pre-cleared, the actual transactions in the Company’s securities effectuated pursuant to the program will not require any further clearance as long as there have been no modifications or changes to the program as pre-cleared.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Gifts or Donations</w:t>
      </w:r>
    </w:p>
    <w:p>
      <w:pPr>
        <w:spacing w:after="0" w:line="2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A gift or donation of Company securities to a family member, charitable organization or any other person (including a transfer to a family trust) can result in varying levels of benefit to either the maker or recipient of the gift, including tax benefits. Pursuant to the amendments to Rule 10b5 -1 adopted by the SEC as noted above, the new rules provide that “</w:t>
      </w:r>
      <w:r>
        <w:rPr>
          <w:rFonts w:ascii="Times New Roman" w:cs="Times New Roman" w:eastAsia="Times New Roman" w:hAnsi="Times New Roman"/>
          <w:sz w:val="19"/>
          <w:szCs w:val="19"/>
          <w:color w:val="333333"/>
        </w:rPr>
        <w:t>a donor of securities violates Exchange Act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333333"/>
        </w:rPr>
        <w:t xml:space="preserve">Section 10(b) if the donor gifts a security of an issuer in fraudulent breach of a duty of trust and confidence when the donor was aware of material nonpublic information about the security or issuer, and knew or was reckless in not knowing that the donee would sell the securities prior to the disclosure of such information.” Accordingly, any gifts or donations of Company securities </w:t>
      </w:r>
      <w:r>
        <w:rPr>
          <w:rFonts w:ascii="Times New Roman" w:cs="Times New Roman" w:eastAsia="Times New Roman" w:hAnsi="Times New Roman"/>
          <w:sz w:val="19"/>
          <w:szCs w:val="19"/>
          <w:color w:val="000000"/>
        </w:rPr>
        <w:t>by a “Section 16</w:t>
      </w:r>
      <w:r>
        <w:rPr>
          <w:rFonts w:ascii="Times New Roman" w:cs="Times New Roman" w:eastAsia="Times New Roman" w:hAnsi="Times New Roman"/>
          <w:sz w:val="19"/>
          <w:szCs w:val="19"/>
          <w:color w:val="333333"/>
        </w:rPr>
        <w:t xml:space="preserve"> </w:t>
      </w:r>
      <w:r>
        <w:rPr>
          <w:rFonts w:ascii="Times New Roman" w:cs="Times New Roman" w:eastAsia="Times New Roman" w:hAnsi="Times New Roman"/>
          <w:sz w:val="19"/>
          <w:szCs w:val="19"/>
          <w:color w:val="000000"/>
        </w:rPr>
        <w:t>Individual” (as defined below) are considered transactions that are required to be disclosed on SEC Form 4 (see “Reporting of Transactions” below) and thus should be pre-cleared as described below under “Pre-Clearance of All Trades.”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Tipping Information to Others</w:t>
      </w:r>
    </w:p>
    <w:p>
      <w:pPr>
        <w:spacing w:after="0" w:line="240"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auto"/>
        </w:rPr>
        <w:t>Whether the information is proprietary information about the Company or non-public information that could have an impact on the Company’s stock price, you must not pass it on to others. The penalties set forth above may apply, whether or not you derive any benefit from someone else’s actions. The Securities and Exchange Commission has imposed substantial penalties on tippers even though they did not profit personally from the trading of their tippees. This policy also serves the Company’s broader interests in preserving the confidentiality of the Company’s proprietary information and in maintaining the highest standards of ethical conduct.</w:t>
      </w:r>
    </w:p>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660400</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Special Restrictions Imposed on the “Window Group”</w:t>
      </w:r>
    </w:p>
    <w:p>
      <w:pPr>
        <w:spacing w:after="0" w:line="221" w:lineRule="exact"/>
        <w:rPr>
          <w:sz w:val="20"/>
          <w:szCs w:val="20"/>
          <w:color w:val="auto"/>
        </w:rPr>
      </w:pPr>
    </w:p>
    <w:p>
      <w:pPr>
        <w:ind w:right="40" w:firstLine="696"/>
        <w:spacing w:after="0" w:line="255" w:lineRule="auto"/>
        <w:rPr>
          <w:sz w:val="20"/>
          <w:szCs w:val="20"/>
          <w:color w:val="auto"/>
        </w:rPr>
      </w:pPr>
      <w:r>
        <w:rPr>
          <w:rFonts w:ascii="Times New Roman" w:cs="Times New Roman" w:eastAsia="Times New Roman" w:hAnsi="Times New Roman"/>
          <w:sz w:val="19"/>
          <w:szCs w:val="19"/>
          <w:color w:val="auto"/>
        </w:rPr>
        <w:t xml:space="preserve">The Company has designated those persons listed on </w:t>
      </w:r>
      <w:r>
        <w:rPr>
          <w:rFonts w:ascii="Times New Roman" w:cs="Times New Roman" w:eastAsia="Times New Roman" w:hAnsi="Times New Roman"/>
          <w:sz w:val="19"/>
          <w:szCs w:val="19"/>
          <w:i w:val="1"/>
          <w:iCs w:val="1"/>
          <w:color w:val="auto"/>
        </w:rPr>
        <w:t>Exhibit A</w:t>
      </w:r>
      <w:r>
        <w:rPr>
          <w:rFonts w:ascii="Times New Roman" w:cs="Times New Roman" w:eastAsia="Times New Roman" w:hAnsi="Times New Roman"/>
          <w:sz w:val="19"/>
          <w:szCs w:val="19"/>
          <w:color w:val="auto"/>
        </w:rPr>
        <w:t xml:space="preserve"> attached hereto (“Section 16 Individuals”) as the directors and officers who are subject to the reporting provisions and trading restrictions of Section 16 of the Securities Exchange Act of 1934 (the “Exchange Act”) . Except for those trades made pursuant to a validly created and Company-approved 10b5-1 Plan, and for routine reinvestments of stock dividends in new shares pursuant to an established Company dividend reinvestment plan (“DRIP Transactions”), Section 16 Individuals must obtain prior approval of all trades, gifts or donations in Company securities from the Company’s General Counsel or outside SEC Counsel in accordance with the procedures set forth in the Section of this Policy Statement titled “Pre- Clearance of All Trades” below. The Company will amend </w:t>
      </w:r>
      <w:r>
        <w:rPr>
          <w:rFonts w:ascii="Times New Roman" w:cs="Times New Roman" w:eastAsia="Times New Roman" w:hAnsi="Times New Roman"/>
          <w:sz w:val="19"/>
          <w:szCs w:val="19"/>
          <w:i w:val="1"/>
          <w:iCs w:val="1"/>
          <w:color w:val="auto"/>
        </w:rPr>
        <w:t>Exhibit A</w:t>
      </w:r>
      <w:r>
        <w:rPr>
          <w:rFonts w:ascii="Times New Roman" w:cs="Times New Roman" w:eastAsia="Times New Roman" w:hAnsi="Times New Roman"/>
          <w:sz w:val="19"/>
          <w:szCs w:val="19"/>
          <w:color w:val="auto"/>
        </w:rPr>
        <w:t xml:space="preserve"> from time to time as necessary to reflect the addition, resignation or departure of Section 16 Individuals.</w:t>
      </w:r>
    </w:p>
    <w:p>
      <w:pPr>
        <w:spacing w:after="0" w:line="196"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9"/>
          <w:szCs w:val="19"/>
          <w:color w:val="auto"/>
        </w:rPr>
        <w:t xml:space="preserve">The Company has designated those persons listed on </w:t>
      </w:r>
      <w:r>
        <w:rPr>
          <w:rFonts w:ascii="Times New Roman" w:cs="Times New Roman" w:eastAsia="Times New Roman" w:hAnsi="Times New Roman"/>
          <w:sz w:val="19"/>
          <w:szCs w:val="19"/>
          <w:i w:val="1"/>
          <w:iCs w:val="1"/>
          <w:color w:val="auto"/>
        </w:rPr>
        <w:t>Exhibit B</w:t>
      </w:r>
      <w:r>
        <w:rPr>
          <w:rFonts w:ascii="Times New Roman" w:cs="Times New Roman" w:eastAsia="Times New Roman" w:hAnsi="Times New Roman"/>
          <w:sz w:val="19"/>
          <w:szCs w:val="19"/>
          <w:color w:val="auto"/>
        </w:rPr>
        <w:t xml:space="preserve"> attached hereto as “Restricted Individuals” because of their position with the Company as officers and/or their access to material nonpublic information regarding the Company. Except for those trades made pursuant to a validly created and Company- approved 10b5-1 Plan, Restricted Individuals must obtain the prior approval of all trades, gifts or donations in Company securities from the Company’s General Counsel or outside SEC Counsel in accordance with the procedures set forth in the Section of this Policy Statement titled “Pre- Clearance of All Trades” below. The Company will amend </w:t>
      </w:r>
      <w:r>
        <w:rPr>
          <w:rFonts w:ascii="Times New Roman" w:cs="Times New Roman" w:eastAsia="Times New Roman" w:hAnsi="Times New Roman"/>
          <w:sz w:val="19"/>
          <w:szCs w:val="19"/>
          <w:i w:val="1"/>
          <w:iCs w:val="1"/>
          <w:color w:val="auto"/>
        </w:rPr>
        <w:t>Exhibit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B </w:t>
      </w:r>
      <w:r>
        <w:rPr>
          <w:rFonts w:ascii="Times New Roman" w:cs="Times New Roman" w:eastAsia="Times New Roman" w:hAnsi="Times New Roman"/>
          <w:sz w:val="19"/>
          <w:szCs w:val="19"/>
          <w:color w:val="auto"/>
        </w:rPr>
        <w:t>from time to time as necessary to reflect the addition, resignation or departure of Restricted Individuals.</w:t>
      </w:r>
    </w:p>
    <w:p>
      <w:pPr>
        <w:spacing w:after="0" w:line="187" w:lineRule="exact"/>
        <w:rPr>
          <w:sz w:val="20"/>
          <w:szCs w:val="20"/>
          <w:color w:val="auto"/>
        </w:rPr>
      </w:pPr>
    </w:p>
    <w:p>
      <w:pPr>
        <w:ind w:right="40" w:firstLine="696"/>
        <w:spacing w:after="0" w:line="255" w:lineRule="auto"/>
        <w:rPr>
          <w:sz w:val="20"/>
          <w:szCs w:val="20"/>
          <w:color w:val="auto"/>
        </w:rPr>
      </w:pPr>
      <w:r>
        <w:rPr>
          <w:rFonts w:ascii="Times New Roman" w:cs="Times New Roman" w:eastAsia="Times New Roman" w:hAnsi="Times New Roman"/>
          <w:sz w:val="19"/>
          <w:szCs w:val="19"/>
          <w:color w:val="auto"/>
        </w:rPr>
        <w:t xml:space="preserve">The Window Group consists of (i) the persons listed on </w:t>
      </w:r>
      <w:r>
        <w:rPr>
          <w:rFonts w:ascii="Times New Roman" w:cs="Times New Roman" w:eastAsia="Times New Roman" w:hAnsi="Times New Roman"/>
          <w:sz w:val="19"/>
          <w:szCs w:val="19"/>
          <w:i w:val="1"/>
          <w:iCs w:val="1"/>
          <w:color w:val="auto"/>
        </w:rPr>
        <w:t>Exhibit A</w:t>
      </w:r>
      <w:r>
        <w:rPr>
          <w:rFonts w:ascii="Times New Roman" w:cs="Times New Roman" w:eastAsia="Times New Roman" w:hAnsi="Times New Roman"/>
          <w:sz w:val="19"/>
          <w:szCs w:val="19"/>
          <w:color w:val="auto"/>
        </w:rPr>
        <w:t xml:space="preserve"> attached hereto, (ii) the persons listed on </w:t>
      </w:r>
      <w:r>
        <w:rPr>
          <w:rFonts w:ascii="Times New Roman" w:cs="Times New Roman" w:eastAsia="Times New Roman" w:hAnsi="Times New Roman"/>
          <w:sz w:val="19"/>
          <w:szCs w:val="19"/>
          <w:i w:val="1"/>
          <w:iCs w:val="1"/>
          <w:color w:val="auto"/>
        </w:rPr>
        <w:t>Exhibit B</w:t>
      </w:r>
      <w:r>
        <w:rPr>
          <w:rFonts w:ascii="Times New Roman" w:cs="Times New Roman" w:eastAsia="Times New Roman" w:hAnsi="Times New Roman"/>
          <w:sz w:val="19"/>
          <w:szCs w:val="19"/>
          <w:color w:val="auto"/>
        </w:rPr>
        <w:t xml:space="preserve"> attached hereto, and (iii) other persons, such as business development employees or certain consultants to the Company, who may be designated from time to time and informed of their status by the Company’s CEO or General Counsel. The Window Group also includes all of these persons’ spouses, members of their immediate families sharing the same household and any trust, partnership or other entity the investments of which any of the foregoing have direct or indirect power to control. The term </w:t>
      </w:r>
      <w:r>
        <w:rPr>
          <w:rFonts w:ascii="Times New Roman" w:cs="Times New Roman" w:eastAsia="Times New Roman" w:hAnsi="Times New Roman"/>
          <w:sz w:val="19"/>
          <w:szCs w:val="19"/>
          <w:i w:val="1"/>
          <w:iCs w:val="1"/>
          <w:color w:val="auto"/>
        </w:rPr>
        <w:t>immediate family</w:t>
      </w:r>
      <w:r>
        <w:rPr>
          <w:rFonts w:ascii="Times New Roman" w:cs="Times New Roman" w:eastAsia="Times New Roman" w:hAnsi="Times New Roman"/>
          <w:sz w:val="19"/>
          <w:szCs w:val="19"/>
          <w:color w:val="auto"/>
        </w:rPr>
        <w:t xml:space="preserve"> means any child, stepchild, grandchild, parent, stepparent, grandparent, spouse, sibling, mother-in-law, father-in-law, son-in -law, daughter- in-law, brother-in- law, or sister-in-law, and includes adoptive relationships. It is the responsibility of each person in the Window Group to familiarize himself or herself with this Policy Statement, and to do the same, as necessary, with respect to members of his or her immediate family.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Additional Prohibited Transactions (Window Group)</w:t>
      </w:r>
    </w:p>
    <w:p>
      <w:pPr>
        <w:spacing w:after="0" w:line="240" w:lineRule="exact"/>
        <w:rPr>
          <w:sz w:val="20"/>
          <w:szCs w:val="20"/>
          <w:color w:val="auto"/>
        </w:rPr>
      </w:pPr>
    </w:p>
    <w:p>
      <w:pPr>
        <w:jc w:val="both"/>
        <w:ind w:right="160" w:firstLine="696"/>
        <w:spacing w:after="0" w:line="268" w:lineRule="auto"/>
        <w:rPr>
          <w:sz w:val="20"/>
          <w:szCs w:val="20"/>
          <w:color w:val="auto"/>
        </w:rPr>
      </w:pPr>
      <w:r>
        <w:rPr>
          <w:rFonts w:ascii="Times New Roman" w:cs="Times New Roman" w:eastAsia="Times New Roman" w:hAnsi="Times New Roman"/>
          <w:sz w:val="19"/>
          <w:szCs w:val="19"/>
          <w:color w:val="auto"/>
        </w:rPr>
        <w:t>Because we believe it is improper and inappropriate for members of the Window Group to engage in short-term or speculative transactions involving the Company’s securities, it is the Company’s policy that any individual who is a member of the Window Group should not engage in any of the following activities with respect to the Company’s securities:</w:t>
      </w:r>
    </w:p>
    <w:p>
      <w:pPr>
        <w:spacing w:after="0" w:line="12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660400</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6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b w:val="1"/>
          <w:bCs w:val="1"/>
          <w:color w:val="auto"/>
        </w:rPr>
        <w:t>1.</w:t>
      </w:r>
      <w:r>
        <w:rPr>
          <w:rFonts w:ascii="Times New Roman" w:cs="Times New Roman" w:eastAsia="Times New Roman" w:hAnsi="Times New Roman"/>
          <w:sz w:val="19"/>
          <w:szCs w:val="19"/>
          <w:color w:val="auto"/>
        </w:rPr>
        <w:t>Trading on a short-term basis. Any Company securities purchased in the open market must be held for a minimum of six months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preferably longer. (Note that the Securities and Exchange Commission’s short-swing profit rule requires disgorgement of profits made by officers and directors from selling any Company securities within six months of a purchase. However, the rule does not apply to stock option exercises and subsequent sales of the underlying securities, except to the extent required by law, for officers and directors.)</w:t>
      </w:r>
    </w:p>
    <w:p>
      <w:pPr>
        <w:spacing w:after="0" w:line="19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9"/>
          <w:szCs w:val="19"/>
          <w:b w:val="1"/>
          <w:bCs w:val="1"/>
          <w:color w:val="auto"/>
        </w:rPr>
        <w:t>2.</w:t>
      </w:r>
      <w:r>
        <w:rPr>
          <w:rFonts w:ascii="Times New Roman" w:cs="Times New Roman" w:eastAsia="Times New Roman" w:hAnsi="Times New Roman"/>
          <w:sz w:val="19"/>
          <w:szCs w:val="19"/>
          <w:color w:val="auto"/>
        </w:rPr>
        <w:t>Short selling. Short sales of the Company’s securities evidence an expectation on the part of the seller that the securities 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decline in value, and therefore signal to the market that the seller lacks confidence in the Company or its short-term prospects. In addition, short sales may reduce the seller’s incentive to improve the Company’s performance. For these reasons, short sales of the Company’s securities are prohibited by this Policy Statement. In addition, Section 16(c) of the Exchange Act prohibits officers and directors from engaging in short sales. This prohibition extends to so- called short sales against the box, where the seller may own the securities being sold, but may not deliver those securities to cover the sale order.</w:t>
      </w:r>
    </w:p>
    <w:p>
      <w:pPr>
        <w:spacing w:after="0" w:line="1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9"/>
          <w:szCs w:val="19"/>
          <w:b w:val="1"/>
          <w:bCs w:val="1"/>
          <w:color w:val="auto"/>
        </w:rPr>
        <w:t>3.</w:t>
      </w:r>
      <w:r>
        <w:rPr>
          <w:rFonts w:ascii="Times New Roman" w:cs="Times New Roman" w:eastAsia="Times New Roman" w:hAnsi="Times New Roman"/>
          <w:sz w:val="19"/>
          <w:szCs w:val="19"/>
          <w:color w:val="auto"/>
        </w:rPr>
        <w:t>Publicly Traded Options. A transaction in options is, in effect, a bet on the short-term movement of the Company’s stock,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therefore creates the appearance that the individual is trading based on inside information. Transactions in options also may focus the individual’s attention on short -term performance at the expense of the Company’s long-term objectives. Accordingly, transactions in puts, calls or other derivative securities, on an exchange or in any other organized market, are prohibited by this Policy Statement. (Option positions arising from certain types of hedging transactions are governed by the section below captioned “Hedging Transactions.”)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b w:val="1"/>
          <w:bCs w:val="1"/>
          <w:color w:val="auto"/>
        </w:rPr>
        <w:t>4.</w:t>
      </w:r>
      <w:r>
        <w:rPr>
          <w:rFonts w:ascii="Times New Roman" w:cs="Times New Roman" w:eastAsia="Times New Roman" w:hAnsi="Times New Roman"/>
          <w:sz w:val="19"/>
          <w:szCs w:val="19"/>
          <w:color w:val="auto"/>
        </w:rPr>
        <w:t>Hedging Transactions. Certain forms of hedging or monetization transactions, such as zero-cost collars and forward sale contracts,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allow an individual to lock in much of the value of his or her stock holdings, often in exchange for all or part of the potential for upside appreciation in the stock. These transactions allow the individual to continue to own the covered securities, but without the full risks and rewards of ownership, and are thus disfavored by the Company as a matter of policy. When that occurs, the individual may no longer have the same objectives as the Company’s other shareholders. Any person wishing to enter into such an arrangement must first pre-clear the proposed transaction with the General Counsel. Any request for pre-clearance of a hedging or similar arrangement must be submitted to the General Counsel at least two weeks prior to the proposed execution of documents evidencing the proposed transaction and must set forth a detailed justification for the proposed transaction.</w:t>
      </w:r>
    </w:p>
    <w:p>
      <w:pPr>
        <w:spacing w:after="0" w:line="20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b w:val="1"/>
          <w:bCs w:val="1"/>
          <w:color w:val="auto"/>
        </w:rPr>
        <w:t>5.</w:t>
      </w:r>
      <w:r>
        <w:rPr>
          <w:rFonts w:ascii="Times New Roman" w:cs="Times New Roman" w:eastAsia="Times New Roman" w:hAnsi="Times New Roman"/>
          <w:sz w:val="19"/>
          <w:szCs w:val="19"/>
          <w:color w:val="auto"/>
        </w:rPr>
        <w:t>Margin Accounts and Pledges. Securities held in a margin account may be sold by the broker without the customer’s consent if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w:t>
      </w:r>
    </w:p>
    <w:p>
      <w:pPr>
        <w:jc w:val="center"/>
        <w:ind w:right="340"/>
        <w:spacing w:after="0" w:line="209" w:lineRule="auto"/>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661035</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00"/>
          </w:cols>
          <w:pgMar w:left="1020" w:top="1131" w:right="680"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61" w:lineRule="exact"/>
        <w:rPr>
          <w:sz w:val="20"/>
          <w:szCs w:val="20"/>
          <w:color w:val="auto"/>
        </w:rPr>
      </w:pPr>
    </w:p>
    <w:p>
      <w:pPr>
        <w:ind w:left="360" w:right="60"/>
        <w:spacing w:after="0" w:line="254" w:lineRule="auto"/>
        <w:rPr>
          <w:sz w:val="20"/>
          <w:szCs w:val="20"/>
          <w:color w:val="auto"/>
        </w:rPr>
      </w:pPr>
      <w:r>
        <w:rPr>
          <w:rFonts w:ascii="Times New Roman" w:cs="Times New Roman" w:eastAsia="Times New Roman" w:hAnsi="Times New Roman"/>
          <w:sz w:val="19"/>
          <w:szCs w:val="19"/>
          <w:color w:val="auto"/>
        </w:rPr>
        <w:t>otherwise is not permitted to trade in Company securities, persons in the Window Group are prohibited from holding Company securities in a margin account or pledging Company securities as collateral for a loan, without obtaining prior approval from the General Counsel. An exception to this prohibition may be granted where a person wishes to pledge Company securities as collateral for a loan (not including margin debt) and clearly demonstrates the financial capacity to repay the loan without resort to the pledged securities. Any person who wishes to pledge Company securities as collateral for a loan must submit a request for approval to the General Counsel at least two weeks prior to the proposed execution of documents evidencing the proposed pledge.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Pre-Clearance of All Trades (Window Group)</w:t>
      </w:r>
    </w:p>
    <w:p>
      <w:pPr>
        <w:spacing w:after="0" w:line="240"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auto"/>
        </w:rPr>
        <w:t>To provide assistance in preventing inadvertent insider trading violations and avoiding the appearance of an improper transaction (which could result, for example, when an employee engages in a trade while unaware of a pending major development), and also to comply with recent accelerated reporting requirements of insider transactions, the Company has implemented the following procedure:</w:t>
      </w:r>
    </w:p>
    <w:p>
      <w:pPr>
        <w:spacing w:after="0" w:line="186"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All transactions in the Company’s securities (acquisitions, dispositions, transfers, gifts, donations, etc.) by any individual who is a member of the Window Group must be pre-cleared by the General Counsel (or his written designee in his absence).</w:t>
      </w:r>
    </w:p>
    <w:p>
      <w:pPr>
        <w:spacing w:after="0" w:line="163" w:lineRule="exact"/>
        <w:rPr>
          <w:sz w:val="20"/>
          <w:szCs w:val="20"/>
          <w:color w:val="auto"/>
        </w:rPr>
      </w:pPr>
    </w:p>
    <w:p>
      <w:pPr>
        <w:ind w:right="80" w:firstLine="696"/>
        <w:spacing w:after="0" w:line="259" w:lineRule="auto"/>
        <w:rPr>
          <w:sz w:val="20"/>
          <w:szCs w:val="20"/>
          <w:color w:val="auto"/>
        </w:rPr>
      </w:pPr>
      <w:r>
        <w:rPr>
          <w:rFonts w:ascii="Times New Roman" w:cs="Times New Roman" w:eastAsia="Times New Roman" w:hAnsi="Times New Roman"/>
          <w:sz w:val="19"/>
          <w:szCs w:val="19"/>
          <w:color w:val="auto"/>
        </w:rPr>
        <w:t>If you contemplate a transaction, you should contact the General Counsel at least two business days in advance. The General Counsel is under no obligation to approve a trade submitted for pre-clearance, and may determine not to permit the trade after review of the legal considerations applicable to the proposed trade. In the absence of the General Counsel, all of the foregoing transactions should be cleared by the Company’s outside SEC Counsel. Transactions of the foregoing type by the General Counsel must be cleared by the Company’s outside SEC Counsel.</w:t>
      </w:r>
    </w:p>
    <w:p>
      <w:pPr>
        <w:spacing w:after="0" w:line="190" w:lineRule="exact"/>
        <w:rPr>
          <w:sz w:val="20"/>
          <w:szCs w:val="20"/>
          <w:color w:val="auto"/>
        </w:rPr>
      </w:pPr>
    </w:p>
    <w:p>
      <w:pPr>
        <w:ind w:right="40" w:firstLine="696"/>
        <w:spacing w:after="0" w:line="268" w:lineRule="auto"/>
        <w:rPr>
          <w:sz w:val="20"/>
          <w:szCs w:val="20"/>
          <w:color w:val="auto"/>
        </w:rPr>
      </w:pPr>
      <w:r>
        <w:rPr>
          <w:rFonts w:ascii="Times New Roman" w:cs="Times New Roman" w:eastAsia="Times New Roman" w:hAnsi="Times New Roman"/>
          <w:sz w:val="19"/>
          <w:szCs w:val="19"/>
          <w:color w:val="auto"/>
        </w:rPr>
        <w:t>This requirement does not apply to stock option exercises, where the underlying shares following exercise are held by the Section 16 Individual, but does cover any resulting market sales of option stock or other transactions where securities are sold in order to pay the exercise price of stock options or other equity incentives.</w:t>
      </w:r>
    </w:p>
    <w:p>
      <w:pPr>
        <w:spacing w:after="0" w:line="178" w:lineRule="exact"/>
        <w:rPr>
          <w:sz w:val="20"/>
          <w:szCs w:val="20"/>
          <w:color w:val="auto"/>
        </w:rPr>
      </w:pPr>
    </w:p>
    <w:p>
      <w:pPr>
        <w:ind w:right="280" w:firstLine="696"/>
        <w:spacing w:after="0" w:line="288" w:lineRule="auto"/>
        <w:rPr>
          <w:sz w:val="20"/>
          <w:szCs w:val="20"/>
          <w:color w:val="auto"/>
        </w:rPr>
      </w:pPr>
      <w:r>
        <w:rPr>
          <w:rFonts w:ascii="Times New Roman" w:cs="Times New Roman" w:eastAsia="Times New Roman" w:hAnsi="Times New Roman"/>
          <w:sz w:val="19"/>
          <w:szCs w:val="19"/>
          <w:color w:val="auto"/>
        </w:rPr>
        <w:t xml:space="preserve">Contact information for the Company’s General Counsel and the Company’s outside SEC Counsel are set forth on </w:t>
      </w:r>
      <w:r>
        <w:rPr>
          <w:rFonts w:ascii="Times New Roman" w:cs="Times New Roman" w:eastAsia="Times New Roman" w:hAnsi="Times New Roman"/>
          <w:sz w:val="19"/>
          <w:szCs w:val="19"/>
          <w:i w:val="1"/>
          <w:iCs w:val="1"/>
          <w:color w:val="auto"/>
        </w:rPr>
        <w:t>Exhibit C</w:t>
      </w:r>
      <w:r>
        <w:rPr>
          <w:rFonts w:ascii="Times New Roman" w:cs="Times New Roman" w:eastAsia="Times New Roman" w:hAnsi="Times New Roman"/>
          <w:sz w:val="19"/>
          <w:szCs w:val="19"/>
          <w:color w:val="auto"/>
        </w:rPr>
        <w:t xml:space="preserve"> attached hereto.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Broker Interface Procedures (Window Group)</w:t>
      </w:r>
    </w:p>
    <w:p>
      <w:pPr>
        <w:spacing w:after="0" w:line="240" w:lineRule="exact"/>
        <w:rPr>
          <w:sz w:val="20"/>
          <w:szCs w:val="20"/>
          <w:color w:val="auto"/>
        </w:rPr>
      </w:pPr>
    </w:p>
    <w:p>
      <w:pPr>
        <w:ind w:right="200" w:firstLine="696"/>
        <w:spacing w:after="0" w:line="256" w:lineRule="auto"/>
        <w:rPr>
          <w:sz w:val="20"/>
          <w:szCs w:val="20"/>
          <w:color w:val="auto"/>
        </w:rPr>
      </w:pPr>
      <w:r>
        <w:rPr>
          <w:rFonts w:ascii="Times New Roman" w:cs="Times New Roman" w:eastAsia="Times New Roman" w:hAnsi="Times New Roman"/>
          <w:sz w:val="19"/>
          <w:szCs w:val="19"/>
          <w:color w:val="auto"/>
        </w:rPr>
        <w:t>For members of our Window Group, the accelerated reporting of transactions pursuant to the Sarbanes -Oxley Act of 2002, which applies to directors and executive officers, will require tight interface with brokers handling transactions for such individuals. A knowledgeable, alert broker can act as a gatekeeper, helping ensure compliance with our pre-clearance procedures and helping prevent inadvertent violations.</w:t>
      </w:r>
    </w:p>
    <w:p>
      <w:pPr>
        <w:jc w:val="center"/>
        <w:spacing w:after="0" w:line="211" w:lineRule="auto"/>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660400</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274" w:lineRule="exact"/>
        <w:rPr>
          <w:sz w:val="20"/>
          <w:szCs w:val="20"/>
          <w:color w:val="auto"/>
        </w:rPr>
      </w:pPr>
    </w:p>
    <w:p>
      <w:pPr>
        <w:ind w:right="200" w:firstLine="696"/>
        <w:spacing w:after="0" w:line="262" w:lineRule="auto"/>
        <w:rPr>
          <w:sz w:val="20"/>
          <w:szCs w:val="20"/>
          <w:color w:val="auto"/>
        </w:rPr>
      </w:pPr>
      <w:r>
        <w:rPr>
          <w:rFonts w:ascii="Times New Roman" w:cs="Times New Roman" w:eastAsia="Times New Roman" w:hAnsi="Times New Roman"/>
          <w:sz w:val="19"/>
          <w:szCs w:val="19"/>
          <w:color w:val="auto"/>
        </w:rPr>
        <w:t xml:space="preserve">With respect to any brokerage accounts which members of the Window Group intend to utilize to trade in the Company’s securities, we are requesting that members of the Window Group make reasonable efforts to seek to have their brokers sign the Broker Instruction/ Representation Form attached as </w:t>
      </w:r>
      <w:r>
        <w:rPr>
          <w:rFonts w:ascii="Times New Roman" w:cs="Times New Roman" w:eastAsia="Times New Roman" w:hAnsi="Times New Roman"/>
          <w:sz w:val="19"/>
          <w:szCs w:val="19"/>
          <w:i w:val="1"/>
          <w:iCs w:val="1"/>
          <w:color w:val="auto"/>
        </w:rPr>
        <w:t>Exhibit D</w:t>
      </w:r>
      <w:r>
        <w:rPr>
          <w:rFonts w:ascii="Times New Roman" w:cs="Times New Roman" w:eastAsia="Times New Roman" w:hAnsi="Times New Roman"/>
          <w:sz w:val="19"/>
          <w:szCs w:val="19"/>
          <w:color w:val="auto"/>
        </w:rPr>
        <w:t xml:space="preserve"> hereto, which imposes two requirements on the broker handling transactions in Company securities:</w:t>
      </w:r>
    </w:p>
    <w:p>
      <w:pPr>
        <w:spacing w:after="0" w:line="167" w:lineRule="exact"/>
        <w:rPr>
          <w:sz w:val="20"/>
          <w:szCs w:val="20"/>
          <w:color w:val="auto"/>
        </w:rPr>
      </w:pPr>
    </w:p>
    <w:p>
      <w:pPr>
        <w:ind w:left="700"/>
        <w:spacing w:after="0" w:line="219" w:lineRule="exact"/>
        <w:rPr>
          <w:sz w:val="20"/>
          <w:szCs w:val="20"/>
          <w:color w:val="auto"/>
        </w:rPr>
      </w:pPr>
      <w:r>
        <w:rPr>
          <w:rFonts w:ascii="Times New Roman" w:cs="Times New Roman" w:eastAsia="Times New Roman" w:hAnsi="Times New Roman"/>
          <w:sz w:val="19"/>
          <w:szCs w:val="19"/>
          <w:color w:val="auto"/>
        </w:rPr>
        <w:t>(a)Not to enter any order (except for orders under pre-approved Rule 10b5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plans) without:</w:t>
      </w:r>
    </w:p>
    <w:p>
      <w:pPr>
        <w:spacing w:after="0" w:line="26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i.first verifying with the Company that the transaction was pre-cleared; and</w:t>
      </w:r>
    </w:p>
    <w:p>
      <w:pPr>
        <w:spacing w:after="0" w:line="25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ii.complying with the brokerage firm’s compliance procedures (e.g., Rule 144).</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(b)To report immediately to the Company via:</w:t>
      </w:r>
    </w:p>
    <w:p>
      <w:pPr>
        <w:spacing w:after="0" w:line="25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i.telephone and</w:t>
      </w:r>
    </w:p>
    <w:p>
      <w:pPr>
        <w:spacing w:after="0" w:line="250" w:lineRule="exact"/>
        <w:rPr>
          <w:sz w:val="20"/>
          <w:szCs w:val="20"/>
          <w:color w:val="auto"/>
        </w:rPr>
      </w:pPr>
    </w:p>
    <w:p>
      <w:pPr>
        <w:ind w:left="1060" w:right="380"/>
        <w:spacing w:after="0" w:line="244" w:lineRule="exact"/>
        <w:rPr>
          <w:sz w:val="20"/>
          <w:szCs w:val="20"/>
          <w:color w:val="auto"/>
        </w:rPr>
      </w:pPr>
      <w:r>
        <w:rPr>
          <w:rFonts w:ascii="Times New Roman" w:cs="Times New Roman" w:eastAsia="Times New Roman" w:hAnsi="Times New Roman"/>
          <w:sz w:val="19"/>
          <w:szCs w:val="19"/>
          <w:color w:val="auto"/>
        </w:rPr>
        <w:t>ii.in writing (via e-mail or fax) the details of every transaction involving Company securities, including gifts, transfers, pledges, and all 10b5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transactions, but not including DRIP Transactions.</w:t>
      </w:r>
    </w:p>
    <w:p>
      <w:pPr>
        <w:spacing w:after="0" w:line="21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9"/>
          <w:szCs w:val="19"/>
          <w:color w:val="auto"/>
        </w:rPr>
        <w:t xml:space="preserve">Each member of the Window Group should sign, and also seek to have his or her broker sign, the Broker Instruction/ Representation Form attached as </w:t>
      </w:r>
      <w:r>
        <w:rPr>
          <w:rFonts w:ascii="Times New Roman" w:cs="Times New Roman" w:eastAsia="Times New Roman" w:hAnsi="Times New Roman"/>
          <w:sz w:val="19"/>
          <w:szCs w:val="19"/>
          <w:i w:val="1"/>
          <w:iCs w:val="1"/>
          <w:color w:val="auto"/>
        </w:rPr>
        <w:t>Exhibit D</w:t>
      </w:r>
      <w:r>
        <w:rPr>
          <w:rFonts w:ascii="Times New Roman" w:cs="Times New Roman" w:eastAsia="Times New Roman" w:hAnsi="Times New Roman"/>
          <w:sz w:val="19"/>
          <w:szCs w:val="19"/>
          <w:color w:val="auto"/>
        </w:rPr>
        <w:t xml:space="preserve"> hereto, and return it to the Company, care of the Corporate Secretary or Assistant Corporate Secretary (see </w:t>
      </w:r>
      <w:r>
        <w:rPr>
          <w:rFonts w:ascii="Times New Roman" w:cs="Times New Roman" w:eastAsia="Times New Roman" w:hAnsi="Times New Roman"/>
          <w:sz w:val="19"/>
          <w:szCs w:val="19"/>
          <w:i w:val="1"/>
          <w:iCs w:val="1"/>
          <w:color w:val="auto"/>
        </w:rPr>
        <w:t xml:space="preserve">Exhibit C </w:t>
      </w:r>
      <w:r>
        <w:rPr>
          <w:rFonts w:ascii="Times New Roman" w:cs="Times New Roman" w:eastAsia="Times New Roman" w:hAnsi="Times New Roman"/>
          <w:sz w:val="19"/>
          <w:szCs w:val="19"/>
          <w:color w:val="auto"/>
        </w:rPr>
        <w:t>hereto), as soon as possible following receipt of this Policy Statement, so that we have the opportunity to work out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coordinated procedure with the brokers for handling any trades in the Company’s securities. However, in the event that your Broker refuses or fails to sign the Broker Instruction/Representation Form, this does not mean that you are in violation of this Policy.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Black-Out Periods (Window Group)</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following limitations apply to members of the Window Group:</w:t>
      </w:r>
    </w:p>
    <w:p>
      <w:pPr>
        <w:spacing w:after="0" w:line="238" w:lineRule="exact"/>
        <w:rPr>
          <w:sz w:val="20"/>
          <w:szCs w:val="20"/>
          <w:color w:val="auto"/>
        </w:rPr>
      </w:pPr>
    </w:p>
    <w:p>
      <w:pPr>
        <w:ind w:left="700" w:right="160"/>
        <w:spacing w:after="0" w:line="259" w:lineRule="auto"/>
        <w:rPr>
          <w:sz w:val="20"/>
          <w:szCs w:val="20"/>
          <w:color w:val="auto"/>
        </w:rPr>
      </w:pPr>
      <w:r>
        <w:rPr>
          <w:rFonts w:ascii="Times New Roman" w:cs="Times New Roman" w:eastAsia="Times New Roman" w:hAnsi="Times New Roman"/>
          <w:sz w:val="19"/>
          <w:szCs w:val="19"/>
          <w:color w:val="auto"/>
        </w:rPr>
        <w:t>1.Quarterly Black-Out Periods. Unless made pursuant to a Pre- planned Trading Program or DRIP Transactions as permitted above, transactions in the Company’s securities (including any gifts or donations) can only be made outside of “black-out” periods. The standard black-out periods begin on the Friday (or last business day of the week) prior to the monthly Board of Directors meeting for any month before the end of a fiscal quarter or fiscal year and end two business days after public release of quarterly or annual financial results for that fiscal quarter or fiscal year period.</w:t>
      </w:r>
    </w:p>
    <w:p>
      <w:pPr>
        <w:spacing w:after="0" w:line="190" w:lineRule="exact"/>
        <w:rPr>
          <w:sz w:val="20"/>
          <w:szCs w:val="20"/>
          <w:color w:val="auto"/>
        </w:rPr>
      </w:pPr>
    </w:p>
    <w:p>
      <w:pPr>
        <w:ind w:left="700" w:right="580"/>
        <w:spacing w:after="0" w:line="263" w:lineRule="auto"/>
        <w:rPr>
          <w:sz w:val="20"/>
          <w:szCs w:val="20"/>
          <w:color w:val="auto"/>
        </w:rPr>
      </w:pPr>
      <w:r>
        <w:rPr>
          <w:rFonts w:ascii="Times New Roman" w:cs="Times New Roman" w:eastAsia="Times New Roman" w:hAnsi="Times New Roman"/>
          <w:sz w:val="19"/>
          <w:szCs w:val="19"/>
          <w:color w:val="auto"/>
        </w:rPr>
        <w:t>2.Event- Specific Black- Out Periods. The Company may on occasion issue interim earnings guidance or other potentially material information by means of a press</w:t>
      </w:r>
    </w:p>
    <w:p>
      <w:pPr>
        <w:jc w:val="center"/>
        <w:spacing w:after="0" w:line="207" w:lineRule="auto"/>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661035</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61" w:lineRule="exact"/>
        <w:rPr>
          <w:sz w:val="20"/>
          <w:szCs w:val="20"/>
          <w:color w:val="auto"/>
        </w:rPr>
      </w:pPr>
    </w:p>
    <w:p>
      <w:pPr>
        <w:ind w:left="660" w:right="20"/>
        <w:spacing w:after="0" w:line="230" w:lineRule="exact"/>
        <w:rPr>
          <w:sz w:val="20"/>
          <w:szCs w:val="20"/>
          <w:color w:val="auto"/>
        </w:rPr>
      </w:pPr>
      <w:r>
        <w:rPr>
          <w:rFonts w:ascii="Times New Roman" w:cs="Times New Roman" w:eastAsia="Times New Roman" w:hAnsi="Times New Roman"/>
          <w:sz w:val="19"/>
          <w:szCs w:val="19"/>
          <w:color w:val="auto"/>
        </w:rPr>
        <w:t>release, Securities and Exchange Commission filing on Form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or other means designed to achieve widespread dissemination of the information. Members of the Window Group should anticipate that trades are unlikely to be pre-cleared while the Company is in the process of assembling the information to be released and until the information has been released and fully absorbed by the market. The Company generally will not disclose the reason for additional black-out periods.</w:t>
      </w:r>
    </w:p>
    <w:p>
      <w:pPr>
        <w:spacing w:after="0" w:line="220"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9"/>
          <w:szCs w:val="19"/>
          <w:color w:val="auto"/>
        </w:rPr>
        <w:t>3.Hardship Exceptions. A person who is subject to a quarterly earnings black-out period and who has an unexpected and urgent need to sell Company stock in order to generate cash may, in appropriate circumstances, be permitted to sell Company stock even during the black-out period. Hardship exceptions may be granted only by the General Counsel or the Company’s outside SEC counsel and must be requested at least five business days in advance of the proposed trade. A hardship exception may be granted only if the General Counsel or the Company’s outside SEC counsel concludes that the Company’s earnings information for the applicable quarter does not constitute material nonpublic information. Under no circumstance will a hardship exception be granted during an event-specific black-out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Reporting of Transactions on Forms 3, 4 and 5 (Section 16 Individuals)</w:t>
      </w:r>
    </w:p>
    <w:p>
      <w:pPr>
        <w:spacing w:after="0" w:line="240" w:lineRule="exact"/>
        <w:rPr>
          <w:sz w:val="20"/>
          <w:szCs w:val="20"/>
          <w:color w:val="auto"/>
        </w:rPr>
      </w:pPr>
    </w:p>
    <w:p>
      <w:pPr>
        <w:ind w:right="120" w:firstLine="672"/>
        <w:spacing w:after="0" w:line="256" w:lineRule="auto"/>
        <w:rPr>
          <w:sz w:val="20"/>
          <w:szCs w:val="20"/>
          <w:color w:val="auto"/>
        </w:rPr>
      </w:pPr>
      <w:r>
        <w:rPr>
          <w:rFonts w:ascii="Times New Roman" w:cs="Times New Roman" w:eastAsia="Times New Roman" w:hAnsi="Times New Roman"/>
          <w:sz w:val="19"/>
          <w:szCs w:val="19"/>
          <w:color w:val="auto"/>
        </w:rPr>
        <w:t>Section 16 Individuals and ten percent (10%) stockholders (collectively, “Reporting Persons”) must file the following reports with the SEC and NASDAQ Stock Exchange disclosing their beneficial holdings of Company securities and any changes in those holdings. For this purpose, beneficial ownership means a pecuniary interest in Company equity securities, including stock owned directly, stock owned through the Company’s 401(k) Plan (which is not currently authorized), Company stock options, restricted stock, convertible debt, phantom stock or performance shares, stock owned by a Reporting Person’s spouse or a Reporting Person’s relatives living in the same household. A Reporting Person also may be deemed to be a beneficial owner of stock held by a trust, estate or other entity in which that Reporting Person or a relative has an interest.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Form 3: Initial Statement of Beneficial Ownership of Securities</w:t>
      </w:r>
    </w:p>
    <w:p>
      <w:pPr>
        <w:spacing w:after="0" w:line="240" w:lineRule="exact"/>
        <w:rPr>
          <w:sz w:val="20"/>
          <w:szCs w:val="20"/>
          <w:color w:val="auto"/>
        </w:rPr>
      </w:pPr>
    </w:p>
    <w:p>
      <w:pPr>
        <w:ind w:right="460" w:firstLine="672"/>
        <w:spacing w:after="0" w:line="286" w:lineRule="auto"/>
        <w:rPr>
          <w:sz w:val="20"/>
          <w:szCs w:val="20"/>
          <w:color w:val="auto"/>
        </w:rPr>
      </w:pPr>
      <w:r>
        <w:rPr>
          <w:rFonts w:ascii="Times New Roman" w:cs="Times New Roman" w:eastAsia="Times New Roman" w:hAnsi="Times New Roman"/>
          <w:sz w:val="19"/>
          <w:szCs w:val="19"/>
          <w:color w:val="auto"/>
        </w:rPr>
        <w:t>Form 3 must be filed within 10 days of a person’s election as a director or officer or becoming a 10% stockholder. Form 3 must be filed even if the director or officer has no beneficial holding of Company securities at the time of election.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Form 4: Statement of Changes of Beneficial Ownership of Securities</w:t>
      </w:r>
    </w:p>
    <w:p>
      <w:pPr>
        <w:spacing w:after="0" w:line="240" w:lineRule="exact"/>
        <w:rPr>
          <w:sz w:val="20"/>
          <w:szCs w:val="20"/>
          <w:color w:val="auto"/>
        </w:rPr>
      </w:pPr>
    </w:p>
    <w:p>
      <w:pPr>
        <w:ind w:right="140" w:firstLine="672"/>
        <w:spacing w:after="0" w:line="255" w:lineRule="auto"/>
        <w:rPr>
          <w:sz w:val="20"/>
          <w:szCs w:val="20"/>
          <w:color w:val="auto"/>
        </w:rPr>
      </w:pPr>
      <w:r>
        <w:rPr>
          <w:rFonts w:ascii="Times New Roman" w:cs="Times New Roman" w:eastAsia="Times New Roman" w:hAnsi="Times New Roman"/>
          <w:sz w:val="19"/>
          <w:szCs w:val="19"/>
          <w:color w:val="auto"/>
        </w:rPr>
        <w:t>Form 4 must be filed by a Reporting Person within two business days of the date on which a transaction involving Company equity securities occurs (except certain exempted transactions). Transactions requiring filing of a Form 4 include grants of director stock compensation, open-market purchases or sales of Company securities, stock option and restricted stock grants and the exercise of stock options, and, as a result of recent amendments to SEC Rule 10b5-1 the transactions required to be reported on Form 4 now include gifts or</w:t>
      </w:r>
    </w:p>
    <w:p>
      <w:pPr>
        <w:jc w:val="center"/>
        <w:ind w:right="20"/>
        <w:spacing w:after="0" w:line="210" w:lineRule="auto"/>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661035</wp:posOffset>
            </wp:positionV>
            <wp:extent cx="67329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131" w:right="680"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6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9"/>
          <w:szCs w:val="19"/>
          <w:color w:val="auto"/>
        </w:rPr>
        <w:t xml:space="preserve">donations of Company securities. In addition, note that directors and officers may be required to file Form 4’s for transactions occurring within six months after leaving the Board or ceasing to be an officer. As a result of the foregoing, you are required to notify the Corporate Secretary or Assistant Corporate Secretary (see </w:t>
      </w:r>
      <w:r>
        <w:rPr>
          <w:rFonts w:ascii="Times New Roman" w:cs="Times New Roman" w:eastAsia="Times New Roman" w:hAnsi="Times New Roman"/>
          <w:sz w:val="19"/>
          <w:szCs w:val="19"/>
          <w:i w:val="1"/>
          <w:iCs w:val="1"/>
          <w:color w:val="auto"/>
        </w:rPr>
        <w:t>Exhibit C</w:t>
      </w:r>
      <w:r>
        <w:rPr>
          <w:rFonts w:ascii="Times New Roman" w:cs="Times New Roman" w:eastAsia="Times New Roman" w:hAnsi="Times New Roman"/>
          <w:sz w:val="19"/>
          <w:szCs w:val="19"/>
          <w:color w:val="auto"/>
        </w:rPr>
        <w:t xml:space="preserve"> for contact information) of any reportable transactions in Company securities on the same business day as such transaction occurs.</w:t>
      </w:r>
    </w:p>
    <w:p>
      <w:pPr>
        <w:spacing w:after="0" w:line="367"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660400</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131" w:right="680" w:bottom="1440" w:gutter="0" w:footer="0" w:header="0"/>
        </w:sectPr>
      </w:pPr>
    </w:p>
    <w:bookmarkStart w:id="159" w:name="page160"/>
    <w:bookmarkEnd w:id="159"/>
    <w:p>
      <w:pPr>
        <w:ind w:left="9720"/>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i w:val="1"/>
          <w:iCs w:val="1"/>
          <w:color w:val="auto"/>
        </w:rPr>
        <w:t>Form 5: Annual Statement of Beneficial Ownership of Securities</w:t>
      </w:r>
    </w:p>
    <w:p>
      <w:pPr>
        <w:spacing w:after="0" w:line="223" w:lineRule="exact"/>
        <w:rPr>
          <w:sz w:val="20"/>
          <w:szCs w:val="20"/>
          <w:color w:val="auto"/>
        </w:rPr>
      </w:pPr>
    </w:p>
    <w:p>
      <w:pPr>
        <w:ind w:left="40" w:right="280" w:firstLine="660"/>
        <w:spacing w:after="0" w:line="286" w:lineRule="auto"/>
        <w:rPr>
          <w:sz w:val="20"/>
          <w:szCs w:val="20"/>
          <w:color w:val="auto"/>
        </w:rPr>
      </w:pPr>
      <w:r>
        <w:rPr>
          <w:rFonts w:ascii="Times New Roman" w:cs="Times New Roman" w:eastAsia="Times New Roman" w:hAnsi="Times New Roman"/>
          <w:sz w:val="19"/>
          <w:szCs w:val="19"/>
          <w:color w:val="auto"/>
        </w:rPr>
        <w:t>A Form 5 must be filed by February 14 of each year to report transactions involving Company securities in the prior year that were exempt from prior reporting (for example, gifts of stock) or that should have been reported but were not.</w:t>
      </w:r>
    </w:p>
    <w:p>
      <w:pPr>
        <w:spacing w:after="0" w:line="163" w:lineRule="exact"/>
        <w:rPr>
          <w:sz w:val="20"/>
          <w:szCs w:val="20"/>
          <w:color w:val="auto"/>
        </w:rPr>
      </w:pPr>
    </w:p>
    <w:p>
      <w:pPr>
        <w:ind w:left="40" w:right="180" w:firstLine="672"/>
        <w:spacing w:after="0" w:line="262" w:lineRule="auto"/>
        <w:rPr>
          <w:sz w:val="20"/>
          <w:szCs w:val="20"/>
          <w:color w:val="auto"/>
        </w:rPr>
      </w:pPr>
      <w:r>
        <w:rPr>
          <w:rFonts w:ascii="Times New Roman" w:cs="Times New Roman" w:eastAsia="Times New Roman" w:hAnsi="Times New Roman"/>
          <w:sz w:val="19"/>
          <w:szCs w:val="19"/>
          <w:color w:val="auto"/>
        </w:rPr>
        <w:t>The Company will be required to identify in its proxy statement any director, officer or ten percent (10% ) stockholder known to have failed during the past year to report a transaction or holding of Company securities within the time periods required by the SEC regulations. The purpose of this requirement (as well as the threat of SEC enforcement action against delinquent filers) is to compel directors, officers and ten percent (10%) stockholders to comply with the reporting requirements in a timely manner.</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Rule 144 (Section 16 Individuals)</w:t>
      </w:r>
    </w:p>
    <w:p>
      <w:pPr>
        <w:spacing w:after="0" w:line="240" w:lineRule="exact"/>
        <w:rPr>
          <w:sz w:val="20"/>
          <w:szCs w:val="20"/>
          <w:color w:val="auto"/>
        </w:rPr>
      </w:pPr>
    </w:p>
    <w:p>
      <w:pPr>
        <w:ind w:left="40" w:right="180" w:firstLine="672"/>
        <w:spacing w:after="0" w:line="262" w:lineRule="auto"/>
        <w:rPr>
          <w:sz w:val="20"/>
          <w:szCs w:val="20"/>
          <w:color w:val="auto"/>
        </w:rPr>
      </w:pPr>
      <w:r>
        <w:rPr>
          <w:rFonts w:ascii="Times New Roman" w:cs="Times New Roman" w:eastAsia="Times New Roman" w:hAnsi="Times New Roman"/>
          <w:sz w:val="19"/>
          <w:szCs w:val="19"/>
          <w:color w:val="auto"/>
        </w:rPr>
        <w:t>A Section 16 Individual who sells Company stock in the public trading markets must also comply with SEC Rule 144. Among other things, that rule requires Section 16 Individuals to file a Form 144 in connection with most open-market sales of Company securities. The Section 16 Individual should inform the broker handling the sale of Company securities that a Rule 144 sale is being made and that a Form 144 should be filed with the SEC and NASDAQ Stock Exchange when the order is placed.</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Transactions by Family Members or Related Entities</w:t>
      </w:r>
    </w:p>
    <w:p>
      <w:pPr>
        <w:spacing w:after="0" w:line="240" w:lineRule="exact"/>
        <w:rPr>
          <w:sz w:val="20"/>
          <w:szCs w:val="20"/>
          <w:color w:val="auto"/>
        </w:rPr>
      </w:pPr>
    </w:p>
    <w:p>
      <w:pPr>
        <w:ind w:right="260" w:firstLine="696"/>
        <w:spacing w:after="0" w:line="257" w:lineRule="auto"/>
        <w:rPr>
          <w:sz w:val="20"/>
          <w:szCs w:val="20"/>
          <w:color w:val="auto"/>
        </w:rPr>
      </w:pPr>
      <w:r>
        <w:rPr>
          <w:rFonts w:ascii="Times New Roman" w:cs="Times New Roman" w:eastAsia="Times New Roman" w:hAnsi="Times New Roman"/>
          <w:sz w:val="19"/>
          <w:szCs w:val="19"/>
          <w:color w:val="auto"/>
        </w:rPr>
        <w:t>This Policy Statement also applies to (i) your 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and (ii) any trusts, investment companies, partnerships or other entities whose securities transactions are controlled or influenced by you or a family member who lives in your household. You are responsible for the transactions of these other persons and entities, and therefore you should make them aware of the need to confer with you before they trade in Company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Post-Termination Transactions</w:t>
      </w:r>
    </w:p>
    <w:p>
      <w:pPr>
        <w:spacing w:after="0" w:line="240"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auto"/>
        </w:rPr>
        <w:t>This Policy Statement continues to apply to your transactions in Company securities even after you have terminated employment or are no longer serving the Company as a director or consultant. If you are in possession of material nonpublic information when your employment or your service as a director or consultant terminates, you may not trade in Company securities until that information has become public or is no longer material. In all other respects, the procedures set forth in this Policy Statement will cease to apply to your transactions in Company securities upon the expiration of any “black-out period” that is applicable to your transactions at the time of your termination of service.</w:t>
      </w:r>
    </w:p>
    <w:p>
      <w:pPr>
        <w:spacing w:after="0" w:line="138"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660400</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131" w:right="620" w:bottom="1440" w:gutter="0" w:footer="0" w:header="0"/>
        </w:sectPr>
      </w:pPr>
    </w:p>
    <w:bookmarkStart w:id="160" w:name="page161"/>
    <w:bookmarkEnd w:id="160"/>
    <w:p>
      <w:pPr>
        <w:ind w:left="9720"/>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 Assistance</w:t>
      </w:r>
    </w:p>
    <w:p>
      <w:pPr>
        <w:spacing w:after="0" w:line="240"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Any person who has any questions about specific transactions may obtain additional guidance from the General Counsel or the Corporate Secretary or Assistant Corporate Secretary. However, the ultimate responsibility for adhering to this Policy Statement and avoiding improper transactions rests with you. Therefore, it is imperative that you use good judgment with respect to all your transactions in Company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Training Requirements</w:t>
      </w:r>
    </w:p>
    <w:p>
      <w:pPr>
        <w:spacing w:after="0" w:line="240" w:lineRule="exact"/>
        <w:rPr>
          <w:sz w:val="20"/>
          <w:szCs w:val="20"/>
          <w:color w:val="auto"/>
        </w:rPr>
      </w:pPr>
    </w:p>
    <w:p>
      <w:pPr>
        <w:ind w:right="200" w:firstLine="48"/>
        <w:spacing w:after="0" w:line="268" w:lineRule="auto"/>
        <w:rPr>
          <w:sz w:val="20"/>
          <w:szCs w:val="20"/>
          <w:color w:val="auto"/>
        </w:rPr>
      </w:pPr>
      <w:r>
        <w:rPr>
          <w:rFonts w:ascii="Times New Roman" w:cs="Times New Roman" w:eastAsia="Times New Roman" w:hAnsi="Times New Roman"/>
          <w:sz w:val="19"/>
          <w:szCs w:val="19"/>
          <w:color w:val="auto"/>
        </w:rPr>
        <w:t>The General Counsel, the Corporate Secretary and each Assistant Corporate Secretary shall participate in any external training as required to maintain their professional competence to administer this Policy Statement, including any such training that may be offered from time to time by the Company’s outside securities counsel at Manatt, Phelps &amp; Phillips,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Audit and Record Retention Requirements</w:t>
      </w:r>
    </w:p>
    <w:p>
      <w:pPr>
        <w:spacing w:after="0" w:line="240" w:lineRule="exact"/>
        <w:rPr>
          <w:sz w:val="20"/>
          <w:szCs w:val="20"/>
          <w:color w:val="auto"/>
        </w:rPr>
      </w:pPr>
    </w:p>
    <w:p>
      <w:pPr>
        <w:ind w:right="100" w:firstLine="48"/>
        <w:spacing w:after="0" w:line="262" w:lineRule="auto"/>
        <w:rPr>
          <w:sz w:val="20"/>
          <w:szCs w:val="20"/>
          <w:color w:val="auto"/>
        </w:rPr>
      </w:pPr>
      <w:r>
        <w:rPr>
          <w:rFonts w:ascii="Times New Roman" w:cs="Times New Roman" w:eastAsia="Times New Roman" w:hAnsi="Times New Roman"/>
          <w:sz w:val="19"/>
          <w:szCs w:val="19"/>
          <w:color w:val="auto"/>
        </w:rPr>
        <w:t>The Corporate Secretary or Assistant Corporate Secretary shall maintain all records of matters covered by this Policy Statement, including black-out period notifications, trade pre-clearances, and the filings of required reports on Forms 3, 4 and 5, for such periods as are required under applicable SEC and NASDAQ rules and regulations. Such records shall be made available as necessary for audit by the Company’s internal and external auditors.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Exhibits to Policy Statement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Exhibit A: Section 16 Individuals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Exhibit B: Restricted Individuals</w:t>
      </w:r>
    </w:p>
    <w:p>
      <w:pPr>
        <w:spacing w:after="0" w:line="238" w:lineRule="exact"/>
        <w:rPr>
          <w:sz w:val="20"/>
          <w:szCs w:val="20"/>
          <w:color w:val="auto"/>
        </w:rPr>
      </w:pPr>
    </w:p>
    <w:p>
      <w:pPr>
        <w:ind w:left="1420" w:right="400" w:hanging="1499"/>
        <w:spacing w:after="0" w:line="288" w:lineRule="auto"/>
        <w:rPr>
          <w:sz w:val="20"/>
          <w:szCs w:val="20"/>
          <w:color w:val="auto"/>
        </w:rPr>
      </w:pPr>
      <w:r>
        <w:rPr>
          <w:rFonts w:ascii="Times New Roman" w:cs="Times New Roman" w:eastAsia="Times New Roman" w:hAnsi="Times New Roman"/>
          <w:sz w:val="19"/>
          <w:szCs w:val="19"/>
          <w:i w:val="1"/>
          <w:iCs w:val="1"/>
          <w:color w:val="auto"/>
        </w:rPr>
        <w:t>xhibit C: Contact Information for General Counsel, Corporate Secretary, each Assistant Corporate Secretary and Outside Securities Counsel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Exhibit 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Broker Instruction/Representation Form</w:t>
      </w:r>
    </w:p>
    <w:p>
      <w:pPr>
        <w:spacing w:after="0" w:line="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660400</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Exhibit A</w:t>
      </w: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Section 16 Individuals</w:t>
      </w:r>
    </w:p>
    <w:p>
      <w:pPr>
        <w:jc w:val="center"/>
        <w:ind w:right="-19"/>
        <w:spacing w:after="0" w:line="217" w:lineRule="auto"/>
        <w:rPr>
          <w:sz w:val="20"/>
          <w:szCs w:val="20"/>
          <w:color w:val="auto"/>
        </w:rPr>
      </w:pPr>
      <w:r>
        <w:rPr>
          <w:rFonts w:ascii="Calibri" w:cs="Calibri" w:eastAsia="Calibri" w:hAnsi="Calibri"/>
          <w:sz w:val="18"/>
          <w:szCs w:val="18"/>
          <w:color w:val="auto"/>
        </w:rPr>
        <w:t>14</w:t>
      </w:r>
    </w:p>
    <w:p>
      <w:pPr>
        <w:spacing w:after="0" w:line="236" w:lineRule="auto"/>
        <w:rPr>
          <w:sz w:val="20"/>
          <w:szCs w:val="20"/>
          <w:color w:val="auto"/>
        </w:rPr>
      </w:pPr>
      <w:r>
        <w:rPr>
          <w:rFonts w:ascii="Calibri" w:cs="Calibri" w:eastAsia="Calibri" w:hAnsi="Calibri"/>
          <w:sz w:val="13"/>
          <w:szCs w:val="13"/>
          <w:color w:val="auto"/>
        </w:rPr>
        <w:t>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561340</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of Directors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Hal W. Oswalt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Chairman of the Board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George A. Borba Jr.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Vice Chairman of the Board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David A. Brager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Stephen A. Del Guercio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Anna Kan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Jane Olvera Majors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Raymond V. O’Brien III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Kimberly Sheehy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pacing w:after="0" w:line="236" w:lineRule="auto"/>
        <w:rPr>
          <w:sz w:val="20"/>
          <w:szCs w:val="20"/>
          <w:color w:val="auto"/>
        </w:rPr>
      </w:pPr>
      <w:r>
        <w:rPr>
          <w:rFonts w:ascii="Calibri" w:cs="Calibri" w:eastAsia="Calibri" w:hAnsi="Calibri"/>
          <w:sz w:val="13"/>
          <w:szCs w:val="13"/>
          <w:color w:val="auto"/>
        </w:rPr>
        <w:t>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561340</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Named Executive Officers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David A. Brager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 Allen Nicholson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Vice President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David F. Farnsworth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Vice President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Credit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David C. Harvey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Vice President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Operating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Richard H. Wohl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Vice President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General Counsel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Section 16 Officers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Yamynn De Angelis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Vice President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Risk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Sheryl Laygo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Vice President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Accounting Officer</w:t>
      </w:r>
    </w:p>
    <w:p>
      <w:pPr>
        <w:spacing w:after="0" w:line="3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36" w:lineRule="auto"/>
        <w:rPr>
          <w:sz w:val="20"/>
          <w:szCs w:val="20"/>
          <w:color w:val="auto"/>
        </w:rPr>
      </w:pPr>
      <w:r>
        <w:rPr>
          <w:rFonts w:ascii="Calibri" w:cs="Calibri" w:eastAsia="Calibri" w:hAnsi="Calibri"/>
          <w:sz w:val="13"/>
          <w:szCs w:val="13"/>
          <w:color w:val="auto"/>
        </w:rPr>
        <w:t>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561340</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Exhibit B</w:t>
      </w:r>
    </w:p>
    <w:p>
      <w:pPr>
        <w:jc w:val="center"/>
        <w:spacing w:after="0"/>
        <w:rPr>
          <w:sz w:val="20"/>
          <w:szCs w:val="20"/>
          <w:color w:val="auto"/>
        </w:rPr>
      </w:pPr>
      <w:r>
        <w:rPr>
          <w:rFonts w:ascii="Times New Roman" w:cs="Times New Roman" w:eastAsia="Times New Roman" w:hAnsi="Times New Roman"/>
          <w:sz w:val="23"/>
          <w:szCs w:val="23"/>
          <w:b w:val="1"/>
          <w:bCs w:val="1"/>
          <w:color w:val="auto"/>
        </w:rPr>
        <w:t>Restricted Individuals</w:t>
      </w:r>
    </w:p>
    <w:p>
      <w:pPr>
        <w:spacing w:after="0" w:line="15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17</w:t>
      </w:r>
    </w:p>
    <w:p>
      <w:pPr>
        <w:spacing w:after="0" w:line="236" w:lineRule="auto"/>
        <w:rPr>
          <w:sz w:val="20"/>
          <w:szCs w:val="20"/>
          <w:color w:val="auto"/>
        </w:rPr>
      </w:pPr>
      <w:r>
        <w:rPr>
          <w:rFonts w:ascii="Calibri" w:cs="Calibri" w:eastAsia="Calibri" w:hAnsi="Calibri"/>
          <w:sz w:val="13"/>
          <w:szCs w:val="13"/>
          <w:color w:val="auto"/>
        </w:rPr>
        <w:t>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561340</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36" w:lineRule="auto"/>
        <w:rPr>
          <w:sz w:val="20"/>
          <w:szCs w:val="20"/>
          <w:color w:val="auto"/>
        </w:rPr>
      </w:pPr>
      <w:r>
        <w:rPr>
          <w:rFonts w:ascii="Calibri" w:cs="Calibri" w:eastAsia="Calibri" w:hAnsi="Calibri"/>
          <w:sz w:val="13"/>
          <w:szCs w:val="13"/>
          <w:color w:val="auto"/>
        </w:rPr>
        <w:t>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561340</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66" w:name="page167"/>
    <w:bookmarkEnd w:id="166"/>
    <w:p>
      <w:pPr>
        <w:ind w:left="9720"/>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0" w:type="dxa"/>
            <w:vAlign w:val="bottom"/>
          </w:tcPr>
          <w:p>
            <w:pPr>
              <w:ind w:left="100"/>
              <w:spacing w:after="0"/>
              <w:rPr>
                <w:sz w:val="20"/>
                <w:szCs w:val="20"/>
                <w:color w:val="auto"/>
              </w:rPr>
            </w:pPr>
            <w:r>
              <w:rPr>
                <w:rFonts w:ascii="Calibri" w:cs="Calibri" w:eastAsia="Calibri" w:hAnsi="Calibri"/>
                <w:sz w:val="18"/>
                <w:szCs w:val="18"/>
                <w:b w:val="1"/>
                <w:bCs w:val="1"/>
                <w:color w:val="auto"/>
              </w:rPr>
              <w:t>Name</w:t>
            </w:r>
          </w:p>
        </w:tc>
        <w:tc>
          <w:tcPr>
            <w:tcW w:w="2720" w:type="dxa"/>
            <w:vAlign w:val="bottom"/>
          </w:tcPr>
          <w:p>
            <w:pPr>
              <w:ind w:left="460"/>
              <w:spacing w:after="0"/>
              <w:rPr>
                <w:sz w:val="20"/>
                <w:szCs w:val="20"/>
                <w:color w:val="auto"/>
              </w:rPr>
            </w:pPr>
            <w:r>
              <w:rPr>
                <w:rFonts w:ascii="Calibri" w:cs="Calibri" w:eastAsia="Calibri" w:hAnsi="Calibri"/>
                <w:sz w:val="18"/>
                <w:szCs w:val="18"/>
                <w:b w:val="1"/>
                <w:bCs w:val="1"/>
                <w:color w:val="auto"/>
              </w:rPr>
              <w:t>Title</w:t>
            </w:r>
          </w:p>
        </w:tc>
        <w:tc>
          <w:tcPr>
            <w:tcW w:w="5840" w:type="dxa"/>
            <w:vAlign w:val="bottom"/>
          </w:tcPr>
          <w:p>
            <w:pPr>
              <w:ind w:left="600"/>
              <w:spacing w:after="0"/>
              <w:rPr>
                <w:sz w:val="20"/>
                <w:szCs w:val="20"/>
                <w:color w:val="auto"/>
              </w:rPr>
            </w:pPr>
            <w:r>
              <w:rPr>
                <w:rFonts w:ascii="Calibri" w:cs="Calibri" w:eastAsia="Calibri" w:hAnsi="Calibri"/>
                <w:sz w:val="18"/>
                <w:szCs w:val="18"/>
                <w:b w:val="1"/>
                <w:bCs w:val="1"/>
                <w:color w:val="auto"/>
              </w:rPr>
              <w:t>Position</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R. Daniel Banis</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Executive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Head of Citizens Trust</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Jeffrey S. Boyer</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Regional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Julie A. Brady</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Executive Assistant</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Stephanie Chapa</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Financial Planning and Analysis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Mike Currie</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Chief Information Officer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Michelle Edu</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Assistant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Corporate Secretary</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Ted Dondanville</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Executive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Banking Division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Gilbert W. Estrada</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Inland Empire Regional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Donald E. Evenson</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Chief Investment Officer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Rich M. Favor</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South Central Coast Regional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Deborah Gallagher</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SBA Group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Hector G. Gutierrez</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Executive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Deputy Chief Credit Officer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Walter Smiechewicz</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Chief Audit Executive</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Yale K. Kim</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Associate General Counsel</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Joyce Y. Kwon</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Executive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Director of Human Resources</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Larry C. Lee</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Quantitative Model and Analytics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Daniel Limon</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Executive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Specialty Lending Group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Jimmy L. Ma</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Associate Counsel</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Susan M. Mlot</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Executive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Head of Operations</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Michael B. Mulcahy</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Los Angeles County Regional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Tim B. Noone</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Executive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Group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Rudy Ramirez</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Group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Mark C. Richardson</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Real Estate Group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Dayna Ruiz</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Assistant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Assistant Corporate Secretary and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40" w:type="dxa"/>
            <w:vAlign w:val="bottom"/>
          </w:tcPr>
          <w:p>
            <w:pPr>
              <w:ind w:left="600"/>
              <w:spacing w:after="0" w:line="216" w:lineRule="exact"/>
              <w:rPr>
                <w:sz w:val="20"/>
                <w:szCs w:val="20"/>
                <w:color w:val="auto"/>
              </w:rPr>
            </w:pPr>
            <w:r>
              <w:rPr>
                <w:rFonts w:ascii="Calibri" w:cs="Calibri" w:eastAsia="Calibri" w:hAnsi="Calibri"/>
                <w:sz w:val="18"/>
                <w:szCs w:val="18"/>
                <w:color w:val="auto"/>
              </w:rPr>
              <w:t>Corporate Paralegal</w:t>
            </w:r>
          </w:p>
        </w:tc>
        <w:tc>
          <w:tcPr>
            <w:tcW w:w="0" w:type="dxa"/>
            <w:vAlign w:val="bottom"/>
          </w:tcPr>
          <w:p>
            <w:pPr>
              <w:spacing w:after="0"/>
              <w:rPr>
                <w:sz w:val="1"/>
                <w:szCs w:val="1"/>
                <w:color w:val="auto"/>
              </w:rPr>
            </w:pPr>
          </w:p>
        </w:tc>
      </w:tr>
      <w:tr>
        <w:trPr>
          <w:trHeight w:val="216"/>
        </w:trPr>
        <w:tc>
          <w:tcPr>
            <w:tcW w:w="2000" w:type="dxa"/>
            <w:vAlign w:val="bottom"/>
          </w:tcPr>
          <w:p>
            <w:pPr>
              <w:ind w:left="100"/>
              <w:spacing w:after="0" w:line="216" w:lineRule="exact"/>
              <w:rPr>
                <w:sz w:val="20"/>
                <w:szCs w:val="20"/>
                <w:color w:val="auto"/>
              </w:rPr>
            </w:pPr>
            <w:r>
              <w:rPr>
                <w:rFonts w:ascii="Calibri" w:cs="Calibri" w:eastAsia="Calibri" w:hAnsi="Calibri"/>
                <w:sz w:val="18"/>
                <w:szCs w:val="18"/>
                <w:color w:val="auto"/>
              </w:rPr>
              <w:t>LaVon M. Short</w:t>
            </w:r>
          </w:p>
        </w:tc>
        <w:tc>
          <w:tcPr>
            <w:tcW w:w="2720" w:type="dxa"/>
            <w:vAlign w:val="bottom"/>
          </w:tcPr>
          <w:p>
            <w:pPr>
              <w:ind w:left="460"/>
              <w:spacing w:after="0" w:line="216" w:lineRule="exact"/>
              <w:rPr>
                <w:sz w:val="20"/>
                <w:szCs w:val="20"/>
                <w:color w:val="auto"/>
              </w:rPr>
            </w:pPr>
            <w:r>
              <w:rPr>
                <w:rFonts w:ascii="Calibri" w:cs="Calibri" w:eastAsia="Calibri" w:hAnsi="Calibri"/>
                <w:sz w:val="18"/>
                <w:szCs w:val="18"/>
                <w:color w:val="auto"/>
              </w:rPr>
              <w:t>Executive Vice President</w:t>
            </w:r>
          </w:p>
        </w:tc>
        <w:tc>
          <w:tcPr>
            <w:tcW w:w="5840" w:type="dxa"/>
            <w:vAlign w:val="bottom"/>
          </w:tcPr>
          <w:p>
            <w:pPr>
              <w:ind w:left="600"/>
              <w:spacing w:after="0" w:line="216" w:lineRule="exact"/>
              <w:rPr>
                <w:sz w:val="20"/>
                <w:szCs w:val="20"/>
                <w:color w:val="auto"/>
              </w:rPr>
            </w:pPr>
            <w:r>
              <w:rPr>
                <w:rFonts w:ascii="Calibri" w:cs="Calibri" w:eastAsia="Calibri" w:hAnsi="Calibri"/>
                <w:sz w:val="18"/>
                <w:szCs w:val="18"/>
                <w:color w:val="auto"/>
              </w:rPr>
              <w:t>Sales Support Group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Michael D. Stain</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Central Valley Regional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David S. Stong</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San Diego Regional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Rosamond F. Tsao</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Accounting Manager II</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Robert E. Zeltner</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Senior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Orange County Regional Manager</w:t>
            </w:r>
          </w:p>
        </w:tc>
        <w:tc>
          <w:tcPr>
            <w:tcW w:w="0" w:type="dxa"/>
            <w:vAlign w:val="bottom"/>
          </w:tcPr>
          <w:p>
            <w:pPr>
              <w:spacing w:after="0"/>
              <w:rPr>
                <w:sz w:val="1"/>
                <w:szCs w:val="1"/>
                <w:color w:val="auto"/>
              </w:rPr>
            </w:pPr>
          </w:p>
        </w:tc>
      </w:tr>
      <w:tr>
        <w:trPr>
          <w:trHeight w:val="228"/>
        </w:trPr>
        <w:tc>
          <w:tcPr>
            <w:tcW w:w="2000" w:type="dxa"/>
            <w:vAlign w:val="bottom"/>
          </w:tcPr>
          <w:p>
            <w:pPr>
              <w:ind w:left="100"/>
              <w:spacing w:after="0"/>
              <w:rPr>
                <w:sz w:val="20"/>
                <w:szCs w:val="20"/>
                <w:color w:val="auto"/>
              </w:rPr>
            </w:pPr>
            <w:r>
              <w:rPr>
                <w:rFonts w:ascii="Calibri" w:cs="Calibri" w:eastAsia="Calibri" w:hAnsi="Calibri"/>
                <w:sz w:val="18"/>
                <w:szCs w:val="18"/>
                <w:color w:val="auto"/>
              </w:rPr>
              <w:t>G. Larry Zivelonghi</w:t>
            </w:r>
          </w:p>
        </w:tc>
        <w:tc>
          <w:tcPr>
            <w:tcW w:w="2720" w:type="dxa"/>
            <w:vAlign w:val="bottom"/>
          </w:tcPr>
          <w:p>
            <w:pPr>
              <w:ind w:left="460"/>
              <w:spacing w:after="0"/>
              <w:rPr>
                <w:sz w:val="20"/>
                <w:szCs w:val="20"/>
                <w:color w:val="auto"/>
              </w:rPr>
            </w:pPr>
            <w:r>
              <w:rPr>
                <w:rFonts w:ascii="Calibri" w:cs="Calibri" w:eastAsia="Calibri" w:hAnsi="Calibri"/>
                <w:sz w:val="18"/>
                <w:szCs w:val="18"/>
                <w:color w:val="auto"/>
              </w:rPr>
              <w:t>Executive Vice President</w:t>
            </w:r>
          </w:p>
        </w:tc>
        <w:tc>
          <w:tcPr>
            <w:tcW w:w="5840" w:type="dxa"/>
            <w:vAlign w:val="bottom"/>
          </w:tcPr>
          <w:p>
            <w:pPr>
              <w:ind w:left="600"/>
              <w:spacing w:after="0"/>
              <w:rPr>
                <w:sz w:val="20"/>
                <w:szCs w:val="20"/>
                <w:color w:val="auto"/>
              </w:rPr>
            </w:pPr>
            <w:r>
              <w:rPr>
                <w:rFonts w:ascii="Calibri" w:cs="Calibri" w:eastAsia="Calibri" w:hAnsi="Calibri"/>
                <w:sz w:val="18"/>
                <w:szCs w:val="18"/>
                <w:color w:val="auto"/>
              </w:rPr>
              <w:t>Dairy &amp; Livestock Industries Group Manager</w:t>
            </w:r>
          </w:p>
        </w:tc>
        <w:tc>
          <w:tcPr>
            <w:tcW w:w="0" w:type="dxa"/>
            <w:vAlign w:val="bottom"/>
          </w:tcPr>
          <w:p>
            <w:pPr>
              <w:spacing w:after="0"/>
              <w:rPr>
                <w:sz w:val="1"/>
                <w:szCs w:val="1"/>
                <w:color w:val="auto"/>
              </w:rPr>
            </w:pPr>
          </w:p>
        </w:tc>
      </w:tr>
      <w:tr>
        <w:trPr>
          <w:trHeight w:val="864"/>
        </w:trPr>
        <w:tc>
          <w:tcPr>
            <w:tcW w:w="2000" w:type="dxa"/>
            <w:vAlign w:val="bottom"/>
            <w:vMerge w:val="restart"/>
          </w:tcPr>
          <w:p>
            <w:pPr>
              <w:spacing w:after="0"/>
              <w:rPr>
                <w:sz w:val="20"/>
                <w:szCs w:val="20"/>
                <w:color w:val="auto"/>
              </w:rPr>
            </w:pPr>
            <w:r>
              <w:rPr>
                <w:rFonts w:ascii="Calibri" w:cs="Calibri" w:eastAsia="Calibri" w:hAnsi="Calibri"/>
                <w:sz w:val="13"/>
                <w:szCs w:val="13"/>
                <w:color w:val="auto"/>
              </w:rPr>
              <w:t>11/2024</w:t>
            </w:r>
          </w:p>
        </w:tc>
        <w:tc>
          <w:tcPr>
            <w:tcW w:w="2720" w:type="dxa"/>
            <w:vAlign w:val="bottom"/>
          </w:tcPr>
          <w:p>
            <w:pPr>
              <w:spacing w:after="0"/>
              <w:rPr>
                <w:sz w:val="24"/>
                <w:szCs w:val="24"/>
                <w:color w:val="auto"/>
              </w:rPr>
            </w:pPr>
          </w:p>
        </w:tc>
        <w:tc>
          <w:tcPr>
            <w:tcW w:w="5840" w:type="dxa"/>
            <w:vAlign w:val="bottom"/>
          </w:tcPr>
          <w:p>
            <w:pPr>
              <w:ind w:left="480"/>
              <w:spacing w:after="0"/>
              <w:rPr>
                <w:sz w:val="20"/>
                <w:szCs w:val="20"/>
                <w:color w:val="auto"/>
              </w:rPr>
            </w:pPr>
            <w:r>
              <w:rPr>
                <w:rFonts w:ascii="Calibri" w:cs="Calibri" w:eastAsia="Calibri" w:hAnsi="Calibri"/>
                <w:sz w:val="18"/>
                <w:szCs w:val="18"/>
                <w:color w:val="auto"/>
              </w:rPr>
              <w:t>19</w:t>
            </w:r>
          </w:p>
        </w:tc>
        <w:tc>
          <w:tcPr>
            <w:tcW w:w="0" w:type="dxa"/>
            <w:vAlign w:val="bottom"/>
          </w:tcPr>
          <w:p>
            <w:pPr>
              <w:spacing w:after="0"/>
              <w:rPr>
                <w:sz w:val="1"/>
                <w:szCs w:val="1"/>
                <w:color w:val="auto"/>
              </w:rPr>
            </w:pPr>
          </w:p>
        </w:tc>
      </w:tr>
      <w:tr>
        <w:trPr>
          <w:trHeight w:val="156"/>
        </w:trPr>
        <w:tc>
          <w:tcPr>
            <w:tcW w:w="2000" w:type="dxa"/>
            <w:vAlign w:val="bottom"/>
            <w:vMerge w:val="continue"/>
          </w:tcPr>
          <w:p>
            <w:pPr>
              <w:spacing w:after="0"/>
              <w:rPr>
                <w:sz w:val="13"/>
                <w:szCs w:val="13"/>
                <w:color w:val="auto"/>
              </w:rPr>
            </w:pPr>
          </w:p>
        </w:tc>
        <w:tc>
          <w:tcPr>
            <w:tcW w:w="27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6"/>
        </w:trPr>
        <w:tc>
          <w:tcPr>
            <w:tcW w:w="2000" w:type="dxa"/>
            <w:vAlign w:val="bottom"/>
            <w:tcBorders>
              <w:bottom w:val="single" w:sz="8" w:color="EEEEEE"/>
            </w:tcBorders>
          </w:tcPr>
          <w:p>
            <w:pPr>
              <w:spacing w:after="0"/>
              <w:rPr>
                <w:sz w:val="24"/>
                <w:szCs w:val="24"/>
                <w:color w:val="auto"/>
              </w:rPr>
            </w:pPr>
          </w:p>
        </w:tc>
        <w:tc>
          <w:tcPr>
            <w:tcW w:w="2720" w:type="dxa"/>
            <w:vAlign w:val="bottom"/>
            <w:tcBorders>
              <w:bottom w:val="single" w:sz="8" w:color="EEEEEE"/>
            </w:tcBorders>
          </w:tcPr>
          <w:p>
            <w:pPr>
              <w:spacing w:after="0"/>
              <w:rPr>
                <w:sz w:val="24"/>
                <w:szCs w:val="24"/>
                <w:color w:val="auto"/>
              </w:rPr>
            </w:pPr>
          </w:p>
        </w:tc>
        <w:tc>
          <w:tcPr>
            <w:tcW w:w="58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Exhibit 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Contact Information for General Counsel and Outside Securities Counsel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Richard H. Wohl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Vice President and General Counsel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CVB Financial Corp. and Citizens Business Bank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701 N. Haven Avenue, Suite 350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Ontario, CA 91764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Telephone: (909) 483-7274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Facsimile: (909) 481-2103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rhwohl@cbbank.com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Yale K. Kim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Vice President, Associate General Counsel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CVB Financial Corp. and Citizens Business Bank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701 N. Haven Avenue, Suite 350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Ontario, CA 91764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Telephone: (909) 483-4323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Facsimile: (909) 481-2103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ykkim@cbbank.com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Craig D. Miller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Outside Securities Counsel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Manatt, Phelps &amp; Phillips LLP</w:t>
      </w:r>
    </w:p>
    <w:p>
      <w:pPr>
        <w:spacing w:after="0" w:line="190" w:lineRule="auto"/>
        <w:rPr>
          <w:sz w:val="20"/>
          <w:szCs w:val="20"/>
          <w:color w:val="auto"/>
        </w:rPr>
      </w:pPr>
      <w:r>
        <w:rPr>
          <w:rFonts w:ascii="Times New Roman" w:cs="Times New Roman" w:eastAsia="Times New Roman" w:hAnsi="Times New Roman"/>
          <w:sz w:val="19"/>
          <w:szCs w:val="19"/>
          <w:color w:val="auto"/>
        </w:rPr>
        <w:t>One Embarcadero Center,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 Francisco, CA 94111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Telephone: (415) 291-7415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Facsimile: (415) 291-7474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cmiller@manatt.com</w:t>
      </w:r>
    </w:p>
    <w:p>
      <w:pPr>
        <w:spacing w:after="0" w:line="3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660400</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59"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23"/>
          <w:szCs w:val="23"/>
          <w:b w:val="1"/>
          <w:bCs w:val="1"/>
          <w:color w:val="auto"/>
        </w:rPr>
        <w:t>Exhibit D</w:t>
      </w:r>
    </w:p>
    <w:p>
      <w:pPr>
        <w:jc w:val="center"/>
        <w:ind w:right="-61"/>
        <w:spacing w:after="0"/>
        <w:rPr>
          <w:sz w:val="20"/>
          <w:szCs w:val="20"/>
          <w:color w:val="auto"/>
        </w:rPr>
      </w:pPr>
      <w:r>
        <w:rPr>
          <w:rFonts w:ascii="Times New Roman" w:cs="Times New Roman" w:eastAsia="Times New Roman" w:hAnsi="Times New Roman"/>
          <w:sz w:val="23"/>
          <w:szCs w:val="23"/>
          <w:b w:val="1"/>
          <w:bCs w:val="1"/>
          <w:color w:val="auto"/>
        </w:rPr>
        <w:t>Broker Instruction/Representation Form</w:t>
      </w:r>
    </w:p>
    <w:p>
      <w:pPr>
        <w:spacing w:after="0" w:line="214" w:lineRule="exact"/>
        <w:rPr>
          <w:sz w:val="20"/>
          <w:szCs w:val="20"/>
          <w:color w:val="auto"/>
        </w:rPr>
      </w:pPr>
    </w:p>
    <w:p>
      <w:pPr>
        <w:ind w:left="742" w:right="180" w:hanging="742"/>
        <w:spacing w:after="0" w:line="268" w:lineRule="auto"/>
        <w:tabs>
          <w:tab w:leader="none" w:pos="28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officer or director of CVB Financial Corp. and/or Citizens Business Bank, and such person’s securities broker, hereby acknowledge and agree to the following in order to comply with the accelerated two-day reporting requirements of the Sarbanes-Oxley Act of 2002:</w:t>
      </w:r>
    </w:p>
    <w:p>
      <w:pPr>
        <w:spacing w:after="0" w:line="180" w:lineRule="exact"/>
        <w:rPr>
          <w:sz w:val="20"/>
          <w:szCs w:val="20"/>
          <w:color w:val="auto"/>
        </w:rPr>
      </w:pPr>
    </w:p>
    <w:p>
      <w:pPr>
        <w:ind w:left="742"/>
        <w:spacing w:after="0"/>
        <w:rPr>
          <w:sz w:val="20"/>
          <w:szCs w:val="20"/>
          <w:color w:val="auto"/>
        </w:rPr>
      </w:pPr>
      <w:r>
        <w:rPr>
          <w:rFonts w:ascii="Times New Roman" w:cs="Times New Roman" w:eastAsia="Times New Roman" w:hAnsi="Times New Roman"/>
          <w:sz w:val="19"/>
          <w:szCs w:val="19"/>
          <w:color w:val="auto"/>
        </w:rPr>
        <w:t>1.Not to enter any order (except for orders under pre-approved Rule 10b5-1 plans) without:</w:t>
      </w:r>
    </w:p>
    <w:p>
      <w:pPr>
        <w:spacing w:after="0" w:line="250" w:lineRule="exact"/>
        <w:rPr>
          <w:sz w:val="20"/>
          <w:szCs w:val="20"/>
          <w:color w:val="auto"/>
        </w:rPr>
      </w:pPr>
    </w:p>
    <w:p>
      <w:pPr>
        <w:ind w:left="1902"/>
        <w:spacing w:after="0"/>
        <w:rPr>
          <w:sz w:val="20"/>
          <w:szCs w:val="20"/>
          <w:color w:val="auto"/>
        </w:rPr>
      </w:pPr>
      <w:r>
        <w:rPr>
          <w:rFonts w:ascii="Times New Roman" w:cs="Times New Roman" w:eastAsia="Times New Roman" w:hAnsi="Times New Roman"/>
          <w:sz w:val="19"/>
          <w:szCs w:val="19"/>
          <w:color w:val="auto"/>
        </w:rPr>
        <w:t>(a)first verifying with the Company that such transaction was pre-cleared, and</w:t>
      </w:r>
    </w:p>
    <w:p>
      <w:pPr>
        <w:spacing w:after="0" w:line="250" w:lineRule="exact"/>
        <w:rPr>
          <w:sz w:val="20"/>
          <w:szCs w:val="20"/>
          <w:color w:val="auto"/>
        </w:rPr>
      </w:pPr>
    </w:p>
    <w:p>
      <w:pPr>
        <w:ind w:left="1902"/>
        <w:spacing w:after="0"/>
        <w:rPr>
          <w:sz w:val="20"/>
          <w:szCs w:val="20"/>
          <w:color w:val="auto"/>
        </w:rPr>
      </w:pPr>
      <w:r>
        <w:rPr>
          <w:rFonts w:ascii="Times New Roman" w:cs="Times New Roman" w:eastAsia="Times New Roman" w:hAnsi="Times New Roman"/>
          <w:sz w:val="19"/>
          <w:szCs w:val="19"/>
          <w:color w:val="auto"/>
        </w:rPr>
        <w:t>(b)complying with the brokerage firm’s compliance procedures (e.g., Rule 144).</w:t>
      </w:r>
    </w:p>
    <w:p>
      <w:pPr>
        <w:spacing w:after="0" w:line="250" w:lineRule="exact"/>
        <w:rPr>
          <w:sz w:val="20"/>
          <w:szCs w:val="20"/>
          <w:color w:val="auto"/>
        </w:rPr>
      </w:pPr>
    </w:p>
    <w:p>
      <w:pPr>
        <w:ind w:left="742"/>
        <w:spacing w:after="0"/>
        <w:rPr>
          <w:sz w:val="20"/>
          <w:szCs w:val="20"/>
          <w:color w:val="auto"/>
        </w:rPr>
      </w:pPr>
      <w:r>
        <w:rPr>
          <w:rFonts w:ascii="Times New Roman" w:cs="Times New Roman" w:eastAsia="Times New Roman" w:hAnsi="Times New Roman"/>
          <w:sz w:val="19"/>
          <w:szCs w:val="19"/>
          <w:color w:val="auto"/>
        </w:rPr>
        <w:t>2.To report immediately to the Company via</w:t>
      </w:r>
    </w:p>
    <w:p>
      <w:pPr>
        <w:spacing w:after="0" w:line="250" w:lineRule="exact"/>
        <w:rPr>
          <w:sz w:val="20"/>
          <w:szCs w:val="20"/>
          <w:color w:val="auto"/>
        </w:rPr>
      </w:pPr>
    </w:p>
    <w:p>
      <w:pPr>
        <w:ind w:left="1902"/>
        <w:spacing w:after="0"/>
        <w:rPr>
          <w:sz w:val="20"/>
          <w:szCs w:val="20"/>
          <w:color w:val="auto"/>
        </w:rPr>
      </w:pPr>
      <w:r>
        <w:rPr>
          <w:rFonts w:ascii="Times New Roman" w:cs="Times New Roman" w:eastAsia="Times New Roman" w:hAnsi="Times New Roman"/>
          <w:sz w:val="19"/>
          <w:szCs w:val="19"/>
          <w:color w:val="auto"/>
        </w:rPr>
        <w:t>(a)telephone, and</w:t>
      </w:r>
    </w:p>
    <w:p>
      <w:pPr>
        <w:spacing w:after="0" w:line="250" w:lineRule="exact"/>
        <w:rPr>
          <w:sz w:val="20"/>
          <w:szCs w:val="20"/>
          <w:color w:val="auto"/>
        </w:rPr>
      </w:pPr>
    </w:p>
    <w:p>
      <w:pPr>
        <w:ind w:left="1902" w:right="580"/>
        <w:spacing w:after="0" w:line="286" w:lineRule="auto"/>
        <w:rPr>
          <w:sz w:val="20"/>
          <w:szCs w:val="20"/>
          <w:color w:val="auto"/>
        </w:rPr>
      </w:pPr>
      <w:r>
        <w:rPr>
          <w:rFonts w:ascii="Times New Roman" w:cs="Times New Roman" w:eastAsia="Times New Roman" w:hAnsi="Times New Roman"/>
          <w:sz w:val="19"/>
          <w:szCs w:val="19"/>
          <w:color w:val="auto"/>
        </w:rPr>
        <w:t>(b)in writing (via e-mail or fax) the details of every transaction involving Company stock, including gifts, transfers, pledges, and all 10b5-1 transactions.</w:t>
      </w:r>
    </w:p>
    <w:p>
      <w:pPr>
        <w:spacing w:after="0" w:line="200" w:lineRule="exact"/>
        <w:rPr>
          <w:sz w:val="20"/>
          <w:szCs w:val="20"/>
          <w:color w:val="auto"/>
        </w:rPr>
      </w:pPr>
    </w:p>
    <w:p>
      <w:pPr>
        <w:spacing w:after="0" w:line="216"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9"/>
          <w:szCs w:val="19"/>
          <w:color w:val="auto"/>
        </w:rPr>
        <w:t>Executed By:</w:t>
      </w:r>
    </w:p>
    <w:p>
      <w:pPr>
        <w:spacing w:after="0" w:line="250"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9"/>
          <w:szCs w:val="19"/>
          <w:color w:val="auto"/>
        </w:rPr>
        <w:t>Officer/Director</w:t>
      </w:r>
    </w:p>
    <w:p>
      <w:pPr>
        <w:spacing w:after="0" w:line="32"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9"/>
          <w:szCs w:val="19"/>
          <w:color w:val="auto"/>
        </w:rPr>
        <w:t>By: __________________________________________________________________________</w:t>
      </w:r>
    </w:p>
    <w:p>
      <w:pPr>
        <w:spacing w:after="0" w:line="10"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9"/>
          <w:szCs w:val="19"/>
          <w:color w:val="auto"/>
        </w:rPr>
        <w:t>Name: ________________________________________________________________________</w:t>
      </w:r>
    </w:p>
    <w:p>
      <w:pPr>
        <w:spacing w:after="0" w:line="10"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9"/>
          <w:szCs w:val="19"/>
          <w:color w:val="auto"/>
        </w:rPr>
        <w:t>Title: _________________________________________________________________________</w:t>
      </w:r>
    </w:p>
    <w:p>
      <w:pPr>
        <w:spacing w:after="0" w:line="10"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9"/>
          <w:szCs w:val="19"/>
          <w:color w:val="auto"/>
        </w:rPr>
        <w:t>Date: _________________________________________________________________________</w:t>
      </w:r>
    </w:p>
    <w:p>
      <w:pPr>
        <w:spacing w:after="0" w:line="200" w:lineRule="exact"/>
        <w:rPr>
          <w:sz w:val="20"/>
          <w:szCs w:val="20"/>
          <w:color w:val="auto"/>
        </w:rPr>
      </w:pPr>
    </w:p>
    <w:p>
      <w:pPr>
        <w:spacing w:after="0" w:line="244"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9"/>
          <w:szCs w:val="19"/>
          <w:color w:val="auto"/>
        </w:rPr>
        <w:t>Broker</w:t>
      </w:r>
    </w:p>
    <w:p>
      <w:pPr>
        <w:spacing w:after="0" w:line="32"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9"/>
          <w:szCs w:val="19"/>
          <w:color w:val="auto"/>
        </w:rPr>
        <w:t>By: __________________________________________________________________________</w:t>
      </w:r>
    </w:p>
    <w:p>
      <w:pPr>
        <w:spacing w:after="0" w:line="10"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9"/>
          <w:szCs w:val="19"/>
          <w:color w:val="auto"/>
        </w:rPr>
        <w:t>Name: ________________________________________________________________________</w:t>
      </w:r>
    </w:p>
    <w:p>
      <w:pPr>
        <w:spacing w:after="0" w:line="10"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9"/>
          <w:szCs w:val="19"/>
          <w:color w:val="auto"/>
        </w:rPr>
        <w:t>Title: _________________________________________________________________________</w:t>
      </w:r>
    </w:p>
    <w:p>
      <w:pPr>
        <w:spacing w:after="0" w:line="10"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9"/>
          <w:szCs w:val="19"/>
          <w:color w:val="auto"/>
        </w:rPr>
        <w:t>Date: _________________________________________________________________________</w:t>
      </w:r>
    </w:p>
    <w:p>
      <w:pPr>
        <w:jc w:val="center"/>
        <w:ind w:right="-61"/>
        <w:spacing w:after="0" w:line="219" w:lineRule="auto"/>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660400</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2"/>
          </w:cols>
          <w:pgMar w:left="618" w:top="1131" w:right="68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Annex 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Exhibit 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Broker/Account and Company Contact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Broker Contact Information</w:t>
      </w:r>
    </w:p>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Company Name: _________________________________________________________</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Address: ________________________________________________________________</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________________________________________________________________________</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Broker Name: ____________________________________________________________</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Title: ___________________________________________________________________</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Telephone: (______)_______________________________________________________</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Facsimile: (______)_______________________________________________________</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Email: __________________________________________________________________</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Account Number: _________________________</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DTC Number: ____________________________</w:t>
      </w:r>
    </w:p>
    <w:p>
      <w:pPr>
        <w:spacing w:after="0" w:line="1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660400</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CVB Financial Corp. Insider Trading Policy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 Company Contact Information</w:t>
      </w:r>
    </w:p>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Corporate Address:</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701 N. Haven Avenue, Suite 350</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Ontario, CA 91764</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Michelle L. Edu, Corporate Secretary</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Telephone: (909) 483-7299</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Facsimile: (909) 481-2103</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Email: mledu@cbbank.com</w:t>
      </w: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Richard H. Wohl, General Counsel</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Telephone: (909) 483-7274</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Facsimile: (909) 481-2103</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Email: rhwohl@cbbank.com</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Yale K. Kim, Associate General Counsel</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Telephone: (909) 483-4323</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Facsimile: (909) 481-2103</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Email: ykkim@cbbank.com</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Dayna Ruiz, Assistant Corporate Secretary</w:t>
      </w:r>
    </w:p>
    <w:p>
      <w:pPr>
        <w:spacing w:after="0" w:line="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and Corporate Paralegal</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Telephone: (909) 980-4514</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Facsimile: (909) 481-2103</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Email: dlruiz@cbbank.com</w:t>
      </w:r>
    </w:p>
    <w:p>
      <w:pPr>
        <w:jc w:val="center"/>
        <w:ind w:right="-19"/>
        <w:spacing w:after="0" w:line="219" w:lineRule="auto"/>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660400</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7360" w:type="dxa"/>
            <w:vAlign w:val="bottom"/>
            <w:gridSpan w:val="3"/>
          </w:tcPr>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Subsidiaries of the Registrant</w:t>
            </w:r>
          </w:p>
        </w:tc>
      </w:tr>
      <w:tr>
        <w:trPr>
          <w:trHeight w:val="638"/>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Jurisdiction of Incorporation</w:t>
            </w:r>
          </w:p>
        </w:tc>
      </w:tr>
      <w:tr>
        <w:trPr>
          <w:trHeight w:val="327"/>
        </w:trPr>
        <w:tc>
          <w:tcPr>
            <w:tcW w:w="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Citizens Business Bank</w:t>
            </w:r>
          </w:p>
        </w:tc>
        <w:tc>
          <w:tcPr>
            <w:tcW w:w="2240" w:type="dxa"/>
            <w:vAlign w:val="bottom"/>
          </w:tcPr>
          <w:p>
            <w:pPr>
              <w:spacing w:after="0"/>
              <w:rPr>
                <w:sz w:val="24"/>
                <w:szCs w:val="24"/>
                <w:color w:val="auto"/>
              </w:rPr>
            </w:pP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California</w:t>
            </w: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Chino Valley Bancorp (Inactive)</w:t>
            </w:r>
          </w:p>
        </w:tc>
        <w:tc>
          <w:tcPr>
            <w:tcW w:w="2240" w:type="dxa"/>
            <w:vAlign w:val="bottom"/>
          </w:tcPr>
          <w:p>
            <w:pPr>
              <w:spacing w:after="0"/>
              <w:rPr>
                <w:sz w:val="17"/>
                <w:szCs w:val="17"/>
                <w:color w:val="auto"/>
              </w:rPr>
            </w:pP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California</w:t>
            </w:r>
          </w:p>
        </w:tc>
      </w:tr>
      <w:tr>
        <w:trPr>
          <w:trHeight w:val="878"/>
        </w:trPr>
        <w:tc>
          <w:tcPr>
            <w:tcW w:w="20" w:type="dxa"/>
            <w:vAlign w:val="bottom"/>
            <w:tcBorders>
              <w:bottom w:val="single" w:sz="8" w:color="EEEEEE"/>
            </w:tcBorders>
          </w:tcPr>
          <w:p>
            <w:pPr>
              <w:spacing w:after="0"/>
              <w:rPr>
                <w:sz w:val="24"/>
                <w:szCs w:val="24"/>
                <w:color w:val="auto"/>
              </w:rPr>
            </w:pPr>
          </w:p>
        </w:tc>
        <w:tc>
          <w:tcPr>
            <w:tcW w:w="3180" w:type="dxa"/>
            <w:vAlign w:val="bottom"/>
            <w:tcBorders>
              <w:bottom w:val="single" w:sz="8" w:color="EEEEEE"/>
            </w:tcBorders>
          </w:tcPr>
          <w:p>
            <w:pPr>
              <w:spacing w:after="0"/>
              <w:rPr>
                <w:sz w:val="24"/>
                <w:szCs w:val="24"/>
                <w:color w:val="auto"/>
              </w:rPr>
            </w:pPr>
          </w:p>
        </w:tc>
        <w:tc>
          <w:tcPr>
            <w:tcW w:w="22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0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6"/>
          <w:szCs w:val="16"/>
          <w:b w:val="1"/>
          <w:bCs w:val="1"/>
          <w:color w:val="auto"/>
        </w:rPr>
        <w:t>Exhibit 23</w:t>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36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We consent to the use of our reports dated February 28, 2025, with respect to the consolidated financial statements of CVB Financial Corp, and the effectiveness of internal control over financial reporting, incorporated herein by reference in the registration statements (No. 333-151755, 333-150016, 333-150017 and 333-225173) on Form S-8.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Irvine,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652145</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73" w:name="page174"/>
    <w:bookmarkEnd w:id="173"/>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 David A. Brager, certify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Annual Report on Form 10-K of CVB Financial Corp.;</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700" w:right="80"/>
        <w:spacing w:after="0" w:line="250"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700" w:right="160"/>
        <w:spacing w:after="0" w:line="250"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jc w:val="both"/>
        <w:ind w:left="700" w:right="200"/>
        <w:spacing w:after="0" w:line="250"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700" w:right="400"/>
        <w:spacing w:after="0" w:line="250"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700" w:right="220"/>
        <w:spacing w:after="0" w:line="254"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 (b)Any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color w:val="auto"/>
        </w:rPr>
        <w:t>Date: February 28, 2025</w:t>
      </w:r>
      <w:r>
        <w:rPr>
          <w:sz w:val="20"/>
          <w:szCs w:val="20"/>
          <w:color w:val="auto"/>
        </w:rPr>
        <w:tab/>
      </w:r>
      <w:r>
        <w:rPr>
          <w:rFonts w:ascii="Times New Roman" w:cs="Times New Roman" w:eastAsia="Times New Roman" w:hAnsi="Times New Roman"/>
          <w:sz w:val="17"/>
          <w:szCs w:val="17"/>
          <w:color w:val="auto"/>
        </w:rPr>
        <w:t>By:/s/ David A. Brager</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David A. Brager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972820</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74" w:name="page175"/>
    <w:bookmarkEnd w:id="174"/>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 E. Allen Nicholson, certify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Annual Report on Form 10-K of CVB Financial Corp.;</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700" w:right="80"/>
        <w:spacing w:after="0" w:line="250"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700" w:right="160"/>
        <w:spacing w:after="0" w:line="250"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jc w:val="both"/>
        <w:ind w:left="700" w:right="200"/>
        <w:spacing w:after="0" w:line="250"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700" w:right="400"/>
        <w:spacing w:after="0" w:line="250"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700" w:right="220"/>
        <w:spacing w:after="0" w:line="254"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 (b)Any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color w:val="auto"/>
        </w:rPr>
        <w:t>Date: February 28, 2025</w:t>
      </w:r>
      <w:r>
        <w:rPr>
          <w:sz w:val="20"/>
          <w:szCs w:val="20"/>
          <w:color w:val="auto"/>
        </w:rPr>
        <w:tab/>
      </w:r>
      <w:r>
        <w:rPr>
          <w:rFonts w:ascii="Times New Roman" w:cs="Times New Roman" w:eastAsia="Times New Roman" w:hAnsi="Times New Roman"/>
          <w:sz w:val="17"/>
          <w:szCs w:val="17"/>
          <w:color w:val="auto"/>
        </w:rPr>
        <w:t>By: /s/ E. Allen Nicholson</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 Allen Nicholson</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972820</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75" w:name="page176"/>
    <w:bookmarkEnd w:id="175"/>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firstLine="3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CVB Financial Corp. (the “Company”) on Form 10-K for the fiscal year ended December 31, 2024, as filed with the Securities and Exchange Commission on the date hereof (the “Report”), I, David A. Brager, President and Chief Executive Officer of the Company, certify, pursuant to 18 U.S.C. § 1350, as adopted pursuant to § 906 of the Sarbanes-Oxley Act of 2002, to the best of my knowledge that:</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and</w:t>
      </w:r>
    </w:p>
    <w:p>
      <w:pPr>
        <w:spacing w:after="0" w:line="225" w:lineRule="exact"/>
        <w:rPr>
          <w:sz w:val="20"/>
          <w:szCs w:val="20"/>
          <w:color w:val="auto"/>
        </w:rPr>
      </w:pPr>
    </w:p>
    <w:p>
      <w:pPr>
        <w:ind w:left="360" w:right="340"/>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18"/>
          <w:szCs w:val="18"/>
          <w:color w:val="auto"/>
        </w:rPr>
        <w:t>Date: February 28, 2025</w:t>
      </w:r>
      <w:r>
        <w:rPr>
          <w:sz w:val="20"/>
          <w:szCs w:val="20"/>
          <w:color w:val="auto"/>
        </w:rPr>
        <w:tab/>
      </w:r>
      <w:r>
        <w:rPr>
          <w:rFonts w:ascii="Times New Roman" w:cs="Times New Roman" w:eastAsia="Times New Roman" w:hAnsi="Times New Roman"/>
          <w:sz w:val="17"/>
          <w:szCs w:val="17"/>
          <w:color w:val="auto"/>
        </w:rPr>
        <w:t>By: /s/ David A. Brager</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David A. Brager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857885</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firstLine="3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CVB Financial Corp. (the “Company”) on Form 10-K for the fiscal year ended December 31, 2024,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and</w:t>
      </w:r>
    </w:p>
    <w:p>
      <w:pPr>
        <w:spacing w:after="0" w:line="225" w:lineRule="exact"/>
        <w:rPr>
          <w:sz w:val="20"/>
          <w:szCs w:val="20"/>
          <w:color w:val="auto"/>
        </w:rPr>
      </w:pPr>
    </w:p>
    <w:p>
      <w:pPr>
        <w:ind w:left="360" w:right="400"/>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2025</w:t>
            </w: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 /s/ E. Allen Nicholson</w:t>
            </w:r>
          </w:p>
        </w:tc>
      </w:tr>
      <w:tr>
        <w:trPr>
          <w:trHeight w:val="216"/>
        </w:trPr>
        <w:tc>
          <w:tcPr>
            <w:tcW w:w="2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 Allen Nicholson</w:t>
            </w:r>
          </w:p>
        </w:tc>
        <w:tc>
          <w:tcPr>
            <w:tcW w:w="8280" w:type="dxa"/>
            <w:vAlign w:val="bottom"/>
          </w:tcPr>
          <w:p>
            <w:pPr>
              <w:spacing w:after="0"/>
              <w:rPr>
                <w:sz w:val="18"/>
                <w:szCs w:val="18"/>
                <w:color w:val="auto"/>
              </w:rPr>
            </w:pPr>
          </w:p>
        </w:tc>
      </w:tr>
      <w:tr>
        <w:trPr>
          <w:trHeight w:val="234"/>
        </w:trPr>
        <w:tc>
          <w:tcPr>
            <w:tcW w:w="2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Chief Financial Officer</w:t>
            </w:r>
          </w:p>
        </w:tc>
        <w:tc>
          <w:tcPr>
            <w:tcW w:w="8280" w:type="dxa"/>
            <w:vAlign w:val="bottom"/>
          </w:tcPr>
          <w:p>
            <w:pPr>
              <w:spacing w:after="0"/>
              <w:rPr>
                <w:sz w:val="20"/>
                <w:szCs w:val="20"/>
                <w:color w:val="auto"/>
              </w:rPr>
            </w:pPr>
          </w:p>
        </w:tc>
      </w:tr>
      <w:tr>
        <w:trPr>
          <w:trHeight w:val="1086"/>
        </w:trPr>
        <w:tc>
          <w:tcPr>
            <w:tcW w:w="2280" w:type="dxa"/>
            <w:vAlign w:val="bottom"/>
            <w:tcBorders>
              <w:bottom w:val="single" w:sz="8" w:color="EEEEEE"/>
            </w:tcBorders>
          </w:tcPr>
          <w:p>
            <w:pPr>
              <w:spacing w:after="0"/>
              <w:rPr>
                <w:sz w:val="24"/>
                <w:szCs w:val="24"/>
                <w:color w:val="auto"/>
              </w:rPr>
            </w:pPr>
          </w:p>
        </w:tc>
        <w:tc>
          <w:tcPr>
            <w:tcW w:w="82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3" w:right="680" w:bottom="1440" w:gutter="0" w:footer="0" w:header="0"/>
        </w:sectPr>
      </w:pPr>
    </w:p>
    <w:bookmarkStart w:id="177" w:name="page178"/>
    <w:bookmarkEnd w:id="17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lowerRoman"/>
      <w:start w:val="4"/>
    </w:lvl>
  </w:abstractNum>
  <w:abstractNum w:abstractNumId="3">
    <w:nsid w:val="66EF438D"/>
    <w:multiLevelType w:val="hybridMultilevel"/>
    <w:lvl w:ilvl="0">
      <w:lvlJc w:val="left"/>
      <w:lvlText w:val="\emdash "/>
      <w:numFmt w:val="bullet"/>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lvl w:ilvl="1">
      <w:lvlJc w:val="left"/>
      <w:lvlText w:val="(%2)"/>
      <w:numFmt w:val="decimal"/>
      <w:start w:val="2"/>
    </w:lvl>
  </w:abstractNum>
  <w:abstractNum w:abstractNumId="6">
    <w:nsid w:val="109CF92E"/>
    <w:multiLevelType w:val="hybridMultilevel"/>
    <w:lvl w:ilvl="0">
      <w:lvlJc w:val="left"/>
      <w:lvlText w:val="(%1)"/>
      <w:numFmt w:val="lowerLetter"/>
      <w:start w:val="2"/>
    </w:lvl>
    <w:lvl w:ilvl="1">
      <w:lvlJc w:val="left"/>
      <w:lvlText w:val="%2"/>
      <w:numFmt w:val="decimal"/>
      <w:start w:val="1"/>
    </w:lvl>
  </w:abstractNum>
  <w:abstractNum w:abstractNumId="7">
    <w:nsid w:val="DED7263"/>
    <w:multiLevelType w:val="hybridMultilevel"/>
    <w:lvl w:ilvl="0">
      <w:lvlJc w:val="left"/>
      <w:lvlText w:val="%1"/>
      <w:numFmt w:val="decimal"/>
      <w:start w:val="19"/>
    </w:lvl>
  </w:abstractNum>
  <w:abstractNum w:abstractNumId="8">
    <w:nsid w:val="7FDCC233"/>
    <w:multiLevelType w:val="hybridMultilevel"/>
    <w:lvl w:ilvl="0">
      <w:lvlJc w:val="left"/>
      <w:lvlText w:val="%1"/>
      <w:numFmt w:val="decimal"/>
      <w:start w:val="21"/>
    </w:lvl>
  </w:abstractNum>
  <w:abstractNum w:abstractNumId="9">
    <w:nsid w:val="1BEFD79F"/>
    <w:multiLevelType w:val="hybridMultilevel"/>
    <w:lvl w:ilvl="0">
      <w:lvlJc w:val="left"/>
      <w:lvlText w:val="%1"/>
      <w:numFmt w:val="decimal"/>
      <w:start w:val="23"/>
    </w:lvl>
  </w:abstractNum>
  <w:abstractNum w:abstractNumId="10">
    <w:nsid w:val="41A7C4C9"/>
    <w:multiLevelType w:val="hybridMultilevel"/>
    <w:lvl w:ilvl="0">
      <w:lvlJc w:val="left"/>
      <w:lvlText w:val="%1"/>
      <w:numFmt w:val="decimal"/>
      <w:start w:val="97"/>
    </w:lvl>
  </w:abstractNum>
  <w:abstractNum w:abstractNumId="11">
    <w:nsid w:val="6B68079A"/>
    <w:multiLevelType w:val="hybridMultilevel"/>
    <w:lvl w:ilvl="0">
      <w:lvlJc w:val="left"/>
      <w:lvlText w:val="*"/>
      <w:numFmt w:val="bullet"/>
      <w:start w:val="1"/>
    </w:lvl>
    <w:lvl w:ilvl="1">
      <w:lvlJc w:val="left"/>
      <w:lvlText w:val="%2"/>
      <w:numFmt w:val="decimal"/>
      <w:start w:val="104"/>
    </w:lvl>
  </w:abstractNum>
  <w:abstractNum w:abstractNumId="12">
    <w:nsid w:val="4E6AFB66"/>
    <w:multiLevelType w:val="hybridMultilevel"/>
    <w:lvl w:ilvl="0">
      <w:lvlJc w:val="left"/>
      <w:lvlText w:val="**"/>
      <w:numFmt w:val="bullet"/>
      <w:start w:val="1"/>
    </w:lvl>
    <w:lvl w:ilvl="1">
      <w:lvlJc w:val="left"/>
      <w:lvlText w:val="%2"/>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9"/>
    </w:lvl>
  </w:abstractNum>
  <w:abstractNum w:abstractNumId="19">
    <w:nsid w:val="62BBD95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123" Type="http://schemas.openxmlformats.org/officeDocument/2006/relationships/hyperlink" Target="https://www.sec.gov/Archives/edgar/data/354647/000119312521226429/d173193dex21.htm" TargetMode="External"/><Relationship Id="rId124" Type="http://schemas.openxmlformats.org/officeDocument/2006/relationships/hyperlink" Target="https://www.sec.gov/Archives/edgar/data/354647/000095012310075006/c04112exv3w1.htm" TargetMode="External"/><Relationship Id="rId125" Type="http://schemas.openxmlformats.org/officeDocument/2006/relationships/hyperlink" Target="https://www.sec.gov/Archives/edgar/data/354647/000119312523239512/d539114dex31.htm" TargetMode="External"/><Relationship Id="rId126" Type="http://schemas.openxmlformats.org/officeDocument/2006/relationships/hyperlink" Target="https://www.sec.gov/Archives/edgar/data/354647/000035464701500005/stockcert.htm" TargetMode="External"/><Relationship Id="rId127" Type="http://schemas.openxmlformats.org/officeDocument/2006/relationships/hyperlink" Target="https://www.sec.gov/Archives/edgar/data/354647/000119312520059185/d872938dex42.htm" TargetMode="External"/><Relationship Id="rId128" Type="http://schemas.openxmlformats.org/officeDocument/2006/relationships/hyperlink" Target="https://www.sec.gov/Archives/edgar/data/354647/000119312516485748/d215042dex102.htm" TargetMode="External"/><Relationship Id="rId129" Type="http://schemas.openxmlformats.org/officeDocument/2006/relationships/hyperlink" Target="https://www.sec.gov/Archives/edgar/data/354647/000119312516636381/d218896dex101.htm" TargetMode="External"/><Relationship Id="rId130" Type="http://schemas.openxmlformats.org/officeDocument/2006/relationships/hyperlink" Target="https://www.sec.gov/Archives/edgar/data/354647/000114544308001268/d23099_def14a.htm" TargetMode="External"/><Relationship Id="rId131" Type="http://schemas.openxmlformats.org/officeDocument/2006/relationships/hyperlink" Target="https://www.sec.gov/Archives/edgar/data/354647/000095012309044833/c90333exv10w2.htm" TargetMode="External"/><Relationship Id="rId132" Type="http://schemas.openxmlformats.org/officeDocument/2006/relationships/hyperlink" Target="https://www.sec.gov/Archives/edgar/data/354647/000095012309065301/c93060exv10w1.htm" TargetMode="External"/><Relationship Id="rId133" Type="http://schemas.openxmlformats.org/officeDocument/2006/relationships/hyperlink" Target="https://www.sec.gov/Archives/edgar/data/354647/000119312514038673/d671576dex102.htm" TargetMode="External"/><Relationship Id="rId134" Type="http://schemas.openxmlformats.org/officeDocument/2006/relationships/hyperlink" Target="https://www.sec.gov/Archives/edgar/data/354647/000119312517165914/d364410dex101.htm" TargetMode="External"/><Relationship Id="rId135" Type="http://schemas.openxmlformats.org/officeDocument/2006/relationships/hyperlink" Target="https://www.sec.gov/Archives/edgar/data/354647/000119312517165914/d364410dex102.htm" TargetMode="External"/><Relationship Id="rId136" Type="http://schemas.openxmlformats.org/officeDocument/2006/relationships/hyperlink" Target="https://www.sec.gov/Archives/edgar/data/354647/000095012408002469/v41120exv10w2.htm" TargetMode="External"/><Relationship Id="rId137" Type="http://schemas.openxmlformats.org/officeDocument/2006/relationships/hyperlink" Target="https://www.sec.gov/Archives/edgar/data/354647/000095012408002469/v41120exv10w3.htm" TargetMode="External"/><Relationship Id="rId138" Type="http://schemas.openxmlformats.org/officeDocument/2006/relationships/hyperlink" Target="https://www.sec.gov/Archives/edgar/data/354647/000119312518107251/d512240ddef14a.htm" TargetMode="External"/><Relationship Id="rId139" Type="http://schemas.openxmlformats.org/officeDocument/2006/relationships/hyperlink" Target="https://www.sec.gov/Archives/edgar/data/354647/000119312518173710/d540797dex102.htm" TargetMode="External"/><Relationship Id="rId140" Type="http://schemas.openxmlformats.org/officeDocument/2006/relationships/hyperlink" Target="https://www.sec.gov/Archives/edgar/data/354647/000119312518173710/d540797dex103.htm" TargetMode="External"/><Relationship Id="rId141" Type="http://schemas.openxmlformats.org/officeDocument/2006/relationships/hyperlink" Target="https://www.sec.gov/Archives/edgar/data/354647/000119312518173710/d540797dex104.htm" TargetMode="External"/><Relationship Id="rId142" Type="http://schemas.openxmlformats.org/officeDocument/2006/relationships/hyperlink" Target="https://www.sec.gov/Archives/edgar/data/354647/000095013407004438/a27755exv10w26.htm" TargetMode="External"/><Relationship Id="rId143" Type="http://schemas.openxmlformats.org/officeDocument/2006/relationships/hyperlink" Target="https://www.sec.gov/Archives/edgar/data/354647/000119312521063327/d49468dex105b.htm" TargetMode="External"/><Relationship Id="rId144" Type="http://schemas.openxmlformats.org/officeDocument/2006/relationships/hyperlink" Target="https://www.sec.gov/Archives/edgar/data/354647/000119312515118263/d888708ddef14a.htm" TargetMode="External"/><Relationship Id="rId145" Type="http://schemas.openxmlformats.org/officeDocument/2006/relationships/hyperlink" Target="https://www.sec.gov/Archives/edgar/data/354647/000095017022002465/cvbf-ex10_11.htm" TargetMode="External"/><Relationship Id="rId146" Type="http://schemas.openxmlformats.org/officeDocument/2006/relationships/hyperlink" Target="https://www.sec.gov/Archives/edgar/data/354647/000095017023005167/cvbf-ex10_12.htm" TargetMode="External"/><Relationship Id="rId147" Type="http://schemas.openxmlformats.org/officeDocument/2006/relationships/hyperlink" Target="https://www.sec.gov/Archives/edgar/data/354647/000119312524173453/d836579dex101.htm" TargetMode="External"/><Relationship Id="rId148" Type="http://schemas.openxmlformats.org/officeDocument/2006/relationships/hyperlink" Target="https://www.sec.gov/Archives/edgar/data/354647/000119312524174920/d769269dex101.htm" TargetMode="External"/><Relationship Id="rId151" Type="http://schemas.openxmlformats.org/officeDocument/2006/relationships/hyperlink" Target="https://www.sec.gov/Archives/edgar/data/354647/000095017024022216/cvbf-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2025-02-28T16:08:24Z</dcterms:created>
  <dcterms:modified xsi:type="dcterms:W3CDTF">2025-02-28T16:08:24Z</dcterms:modified>
</cp:coreProperties>
</file>